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914D1" w:rsidRDefault="003914D1" w:rsidP="00D850E8">
      <w:pPr>
        <w:jc w:val="both"/>
        <w:rPr>
          <w:rFonts w:ascii="Tahoma" w:hAnsi="Tahoma" w:cs="Tahoma"/>
          <w:bCs/>
          <w:iCs/>
          <w:color w:val="3D1B0E"/>
          <w:sz w:val="22"/>
          <w:szCs w:val="22"/>
          <w:lang w:val="pl-PL"/>
        </w:rPr>
      </w:pPr>
      <w:bookmarkStart w:id="0" w:name="_Toc6070941"/>
    </w:p>
    <w:p w:rsidR="00AD3443" w:rsidRPr="003914D1" w:rsidRDefault="00D84544" w:rsidP="00D850E8">
      <w:pPr>
        <w:jc w:val="both"/>
        <w:rPr>
          <w:rFonts w:ascii="Tahoma" w:hAnsi="Tahoma" w:cs="Tahoma"/>
          <w:b/>
          <w:bCs/>
          <w:iCs/>
          <w:color w:val="3D1B0E"/>
          <w:lang w:val="pl-PL"/>
        </w:rPr>
      </w:pPr>
      <w:r w:rsidRPr="003914D1">
        <w:rPr>
          <w:rFonts w:ascii="Tahoma" w:hAnsi="Tahoma" w:cs="Tahoma"/>
          <w:bCs/>
          <w:iCs/>
          <w:color w:val="3D1B0E"/>
          <w:lang w:val="pl-PL"/>
        </w:rPr>
        <w:t>Streszczenie wyników badania</w:t>
      </w:r>
      <w:r w:rsidRPr="003914D1">
        <w:rPr>
          <w:rFonts w:ascii="Tahoma" w:hAnsi="Tahoma" w:cs="Tahoma"/>
          <w:b/>
          <w:bCs/>
          <w:iCs/>
          <w:color w:val="3D1B0E"/>
          <w:lang w:val="pl-PL"/>
        </w:rPr>
        <w:t xml:space="preserve"> </w:t>
      </w:r>
    </w:p>
    <w:p w:rsidR="00D84544" w:rsidRPr="003914D1" w:rsidRDefault="00D84544" w:rsidP="00D850E8">
      <w:pPr>
        <w:jc w:val="both"/>
        <w:rPr>
          <w:rFonts w:ascii="Tahoma" w:hAnsi="Tahoma" w:cs="Tahoma"/>
          <w:bCs/>
          <w:iCs/>
          <w:color w:val="3D1B0E"/>
          <w:lang w:val="pl-PL"/>
        </w:rPr>
      </w:pPr>
      <w:r w:rsidRPr="003914D1">
        <w:rPr>
          <w:rFonts w:ascii="Tahoma" w:hAnsi="Tahoma" w:cs="Tahoma"/>
          <w:b/>
          <w:bCs/>
          <w:iCs/>
          <w:color w:val="3D1B0E"/>
          <w:lang w:val="pl-PL"/>
        </w:rPr>
        <w:t xml:space="preserve">„Ewaluacja mid-term dotycząca postępu rzeczowego RPOWŚ 2014-2020 dla potrzeb przeglądu śródokresowego, w tym realizacji zapisów ram i rezerwy wykonania” </w:t>
      </w:r>
      <w:r w:rsidRPr="003914D1">
        <w:rPr>
          <w:rFonts w:ascii="Tahoma" w:hAnsi="Tahoma" w:cs="Tahoma"/>
          <w:bCs/>
          <w:iCs/>
          <w:color w:val="3D1B0E"/>
          <w:lang w:val="pl-PL"/>
        </w:rPr>
        <w:t>realizowanego przez konsorcjum firm: L</w:t>
      </w:r>
      <w:r w:rsidR="00996AD2" w:rsidRPr="003914D1">
        <w:rPr>
          <w:rFonts w:ascii="Tahoma" w:hAnsi="Tahoma" w:cs="Tahoma"/>
          <w:bCs/>
          <w:iCs/>
          <w:color w:val="3D1B0E"/>
          <w:lang w:val="pl-PL"/>
        </w:rPr>
        <w:t>B</w:t>
      </w:r>
      <w:r w:rsidRPr="003914D1">
        <w:rPr>
          <w:rFonts w:ascii="Tahoma" w:hAnsi="Tahoma" w:cs="Tahoma"/>
          <w:bCs/>
          <w:iCs/>
          <w:color w:val="3D1B0E"/>
          <w:lang w:val="pl-PL"/>
        </w:rPr>
        <w:t>&amp;</w:t>
      </w:r>
      <w:r w:rsidR="00996AD2" w:rsidRPr="003914D1">
        <w:rPr>
          <w:rFonts w:ascii="Tahoma" w:hAnsi="Tahoma" w:cs="Tahoma"/>
          <w:bCs/>
          <w:iCs/>
          <w:color w:val="3D1B0E"/>
          <w:lang w:val="pl-PL"/>
        </w:rPr>
        <w:t>E</w:t>
      </w:r>
      <w:r w:rsidRPr="003914D1">
        <w:rPr>
          <w:rFonts w:ascii="Tahoma" w:hAnsi="Tahoma" w:cs="Tahoma"/>
          <w:bCs/>
          <w:iCs/>
          <w:color w:val="3D1B0E"/>
          <w:lang w:val="pl-PL"/>
        </w:rPr>
        <w:t xml:space="preserve"> oraz EGO s.</w:t>
      </w:r>
      <w:r w:rsidR="00AD3443" w:rsidRPr="003914D1">
        <w:rPr>
          <w:rFonts w:ascii="Tahoma" w:hAnsi="Tahoma" w:cs="Tahoma"/>
          <w:bCs/>
          <w:iCs/>
          <w:color w:val="3D1B0E"/>
          <w:lang w:val="pl-PL"/>
        </w:rPr>
        <w:t>c.</w:t>
      </w:r>
    </w:p>
    <w:p w:rsidR="00996AD2" w:rsidRPr="006A2A18" w:rsidRDefault="00996AD2" w:rsidP="00996AD2">
      <w:pPr>
        <w:pStyle w:val="LBE11"/>
        <w:numPr>
          <w:ilvl w:val="0"/>
          <w:numId w:val="0"/>
        </w:numPr>
        <w:spacing w:after="240"/>
        <w:ind w:left="720"/>
        <w:outlineLvl w:val="9"/>
        <w:rPr>
          <w:rFonts w:ascii="Tahoma" w:hAnsi="Tahoma" w:cs="Tahoma"/>
          <w:sz w:val="24"/>
          <w:szCs w:val="24"/>
          <w:lang w:val="pl-PL"/>
        </w:rPr>
      </w:pPr>
      <w:bookmarkStart w:id="1" w:name="_Toc3864059"/>
      <w:bookmarkStart w:id="2" w:name="_Toc5477480"/>
      <w:r w:rsidRPr="006A2A18">
        <w:rPr>
          <w:rFonts w:ascii="Tahoma" w:hAnsi="Tahoma" w:cs="Tahoma"/>
          <w:sz w:val="24"/>
          <w:szCs w:val="24"/>
          <w:lang w:val="pl-PL"/>
        </w:rPr>
        <w:t>Kontekst badania</w:t>
      </w:r>
      <w:bookmarkEnd w:id="1"/>
      <w:bookmarkEnd w:id="2"/>
    </w:p>
    <w:p w:rsidR="00996AD2" w:rsidRPr="0096765E" w:rsidRDefault="00996AD2" w:rsidP="00996AD2">
      <w:pPr>
        <w:spacing w:before="120" w:line="276" w:lineRule="auto"/>
        <w:jc w:val="both"/>
        <w:rPr>
          <w:rFonts w:ascii="Tahoma" w:hAnsi="Tahoma" w:cs="Tahoma"/>
          <w:sz w:val="20"/>
          <w:szCs w:val="20"/>
          <w:lang w:val="pl-PL"/>
        </w:rPr>
      </w:pPr>
      <w:r w:rsidRPr="0096765E">
        <w:rPr>
          <w:rFonts w:ascii="Tahoma" w:hAnsi="Tahoma" w:cs="Tahoma"/>
          <w:sz w:val="20"/>
          <w:szCs w:val="20"/>
          <w:lang w:val="pl-PL"/>
        </w:rPr>
        <w:t>Obowiązkiem Instytucji Zarządzającej (IZ) jest przeprowadzenie śródokresowej oceny (mid</w:t>
      </w:r>
      <w:r>
        <w:rPr>
          <w:rFonts w:ascii="Tahoma" w:hAnsi="Tahoma" w:cs="Tahoma"/>
          <w:sz w:val="20"/>
          <w:szCs w:val="20"/>
          <w:lang w:val="pl-PL"/>
        </w:rPr>
        <w:t>-</w:t>
      </w:r>
      <w:r w:rsidRPr="0096765E">
        <w:rPr>
          <w:rFonts w:ascii="Tahoma" w:hAnsi="Tahoma" w:cs="Tahoma"/>
          <w:sz w:val="20"/>
          <w:szCs w:val="20"/>
          <w:lang w:val="pl-PL"/>
        </w:rPr>
        <w:t>term) wdrażania Regionalnego Programu Operacyjnego Województwa Świętokrzyskiego</w:t>
      </w:r>
      <w:r>
        <w:rPr>
          <w:rFonts w:ascii="Tahoma" w:hAnsi="Tahoma" w:cs="Tahoma"/>
          <w:sz w:val="20"/>
          <w:szCs w:val="20"/>
          <w:lang w:val="pl-PL"/>
        </w:rPr>
        <w:t xml:space="preserve"> </w:t>
      </w:r>
      <w:r w:rsidRPr="0096765E">
        <w:rPr>
          <w:rFonts w:ascii="Tahoma" w:hAnsi="Tahoma" w:cs="Tahoma"/>
          <w:sz w:val="20"/>
          <w:szCs w:val="20"/>
          <w:lang w:val="pl-PL"/>
        </w:rPr>
        <w:t>na lata 2014-2020. Wynika to</w:t>
      </w:r>
      <w:r>
        <w:rPr>
          <w:rFonts w:ascii="Tahoma" w:hAnsi="Tahoma" w:cs="Tahoma"/>
          <w:sz w:val="20"/>
          <w:szCs w:val="20"/>
          <w:lang w:val="pl-PL"/>
        </w:rPr>
        <w:t xml:space="preserve"> z </w:t>
      </w:r>
      <w:r w:rsidRPr="0096765E">
        <w:rPr>
          <w:rFonts w:ascii="Tahoma" w:hAnsi="Tahoma" w:cs="Tahoma"/>
          <w:sz w:val="20"/>
          <w:szCs w:val="20"/>
          <w:lang w:val="pl-PL"/>
        </w:rPr>
        <w:t xml:space="preserve">zapisów Rozporządzenia Parlamentu </w:t>
      </w:r>
      <w:r>
        <w:rPr>
          <w:rFonts w:ascii="Tahoma" w:hAnsi="Tahoma" w:cs="Tahoma"/>
          <w:sz w:val="20"/>
          <w:szCs w:val="20"/>
          <w:lang w:val="pl-PL"/>
        </w:rPr>
        <w:t>Europ</w:t>
      </w:r>
      <w:r w:rsidRPr="0096765E">
        <w:rPr>
          <w:rFonts w:ascii="Tahoma" w:hAnsi="Tahoma" w:cs="Tahoma"/>
          <w:sz w:val="20"/>
          <w:szCs w:val="20"/>
          <w:lang w:val="pl-PL"/>
        </w:rPr>
        <w:t>ejskiego</w:t>
      </w:r>
      <w:r>
        <w:rPr>
          <w:rFonts w:ascii="Tahoma" w:hAnsi="Tahoma" w:cs="Tahoma"/>
          <w:sz w:val="20"/>
          <w:szCs w:val="20"/>
          <w:lang w:val="pl-PL"/>
        </w:rPr>
        <w:t xml:space="preserve"> i </w:t>
      </w:r>
      <w:r w:rsidRPr="0096765E">
        <w:rPr>
          <w:rFonts w:ascii="Tahoma" w:hAnsi="Tahoma" w:cs="Tahoma"/>
          <w:sz w:val="20"/>
          <w:szCs w:val="20"/>
          <w:lang w:val="pl-PL"/>
        </w:rPr>
        <w:t>Rady</w:t>
      </w:r>
      <w:r>
        <w:rPr>
          <w:rFonts w:ascii="Tahoma" w:hAnsi="Tahoma" w:cs="Tahoma"/>
          <w:sz w:val="20"/>
          <w:szCs w:val="20"/>
          <w:lang w:val="pl-PL"/>
        </w:rPr>
        <w:t xml:space="preserve"> </w:t>
      </w:r>
      <w:r w:rsidRPr="0096765E">
        <w:rPr>
          <w:rFonts w:ascii="Tahoma" w:hAnsi="Tahoma" w:cs="Tahoma"/>
          <w:sz w:val="20"/>
          <w:szCs w:val="20"/>
          <w:lang w:val="pl-PL"/>
        </w:rPr>
        <w:t>(UE) nr 1303/2013</w:t>
      </w:r>
      <w:r>
        <w:rPr>
          <w:rFonts w:ascii="Tahoma" w:hAnsi="Tahoma" w:cs="Tahoma"/>
          <w:sz w:val="20"/>
          <w:szCs w:val="20"/>
          <w:lang w:val="pl-PL"/>
        </w:rPr>
        <w:t xml:space="preserve"> z </w:t>
      </w:r>
      <w:r w:rsidRPr="0096765E">
        <w:rPr>
          <w:rFonts w:ascii="Tahoma" w:hAnsi="Tahoma" w:cs="Tahoma"/>
          <w:sz w:val="20"/>
          <w:szCs w:val="20"/>
          <w:lang w:val="pl-PL"/>
        </w:rPr>
        <w:t>dnia 17 grudnia 2013 r. Obowiązek przeprowadzenia tej ewaluacji został określony także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96765E">
        <w:rPr>
          <w:rFonts w:ascii="Tahoma" w:hAnsi="Tahoma" w:cs="Tahoma"/>
          <w:sz w:val="20"/>
          <w:szCs w:val="20"/>
          <w:lang w:val="pl-PL"/>
        </w:rPr>
        <w:t>Wytycznych Ministra Infrastruktury</w:t>
      </w:r>
      <w:r>
        <w:rPr>
          <w:rFonts w:ascii="Tahoma" w:hAnsi="Tahoma" w:cs="Tahoma"/>
          <w:sz w:val="20"/>
          <w:szCs w:val="20"/>
          <w:lang w:val="pl-PL"/>
        </w:rPr>
        <w:t xml:space="preserve"> i </w:t>
      </w:r>
      <w:r w:rsidRPr="0096765E">
        <w:rPr>
          <w:rFonts w:ascii="Tahoma" w:hAnsi="Tahoma" w:cs="Tahoma"/>
          <w:sz w:val="20"/>
          <w:szCs w:val="20"/>
          <w:lang w:val="pl-PL"/>
        </w:rPr>
        <w:t>Rozwoju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96765E">
        <w:rPr>
          <w:rFonts w:ascii="Tahoma" w:hAnsi="Tahoma" w:cs="Tahoma"/>
          <w:sz w:val="20"/>
          <w:szCs w:val="20"/>
          <w:lang w:val="pl-PL"/>
        </w:rPr>
        <w:t>zakresie ewaluacji polityki spójności na</w:t>
      </w:r>
      <w:r>
        <w:rPr>
          <w:rFonts w:ascii="Tahoma" w:hAnsi="Tahoma" w:cs="Tahoma"/>
          <w:sz w:val="20"/>
          <w:szCs w:val="20"/>
          <w:lang w:val="pl-PL"/>
        </w:rPr>
        <w:t xml:space="preserve"> </w:t>
      </w:r>
      <w:r w:rsidRPr="0096765E">
        <w:rPr>
          <w:rFonts w:ascii="Tahoma" w:hAnsi="Tahoma" w:cs="Tahoma"/>
          <w:sz w:val="20"/>
          <w:szCs w:val="20"/>
          <w:lang w:val="pl-PL"/>
        </w:rPr>
        <w:t>lata 2014-2020 oraz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96765E">
        <w:rPr>
          <w:rFonts w:ascii="Tahoma" w:hAnsi="Tahoma" w:cs="Tahoma"/>
          <w:sz w:val="20"/>
          <w:szCs w:val="20"/>
          <w:lang w:val="pl-PL"/>
        </w:rPr>
        <w:t>Planie Ewaluacji RPOWŚ 2014-202</w:t>
      </w:r>
      <w:r>
        <w:rPr>
          <w:rFonts w:ascii="Tahoma" w:hAnsi="Tahoma" w:cs="Tahoma"/>
          <w:sz w:val="20"/>
          <w:szCs w:val="20"/>
          <w:lang w:val="pl-PL"/>
        </w:rPr>
        <w:t>0</w:t>
      </w:r>
      <w:r w:rsidRPr="0096765E">
        <w:rPr>
          <w:rFonts w:ascii="Tahoma" w:hAnsi="Tahoma" w:cs="Tahoma"/>
          <w:sz w:val="20"/>
          <w:szCs w:val="20"/>
          <w:lang w:val="pl-PL"/>
        </w:rPr>
        <w:t>.</w:t>
      </w:r>
    </w:p>
    <w:p w:rsidR="00996AD2" w:rsidRPr="006A2A18" w:rsidRDefault="00996AD2" w:rsidP="00996AD2">
      <w:pPr>
        <w:pStyle w:val="LBE11"/>
        <w:numPr>
          <w:ilvl w:val="0"/>
          <w:numId w:val="0"/>
        </w:numPr>
        <w:spacing w:after="240"/>
        <w:ind w:left="720"/>
        <w:outlineLvl w:val="9"/>
        <w:rPr>
          <w:rFonts w:ascii="Tahoma" w:hAnsi="Tahoma" w:cs="Tahoma"/>
          <w:sz w:val="24"/>
          <w:szCs w:val="24"/>
          <w:lang w:val="pl-PL"/>
        </w:rPr>
      </w:pPr>
      <w:bookmarkStart w:id="3" w:name="_Toc3864060"/>
      <w:bookmarkStart w:id="4" w:name="_Toc5477481"/>
      <w:r w:rsidRPr="006A2A18">
        <w:rPr>
          <w:rFonts w:ascii="Tahoma" w:hAnsi="Tahoma" w:cs="Tahoma"/>
          <w:sz w:val="24"/>
          <w:szCs w:val="24"/>
          <w:lang w:val="pl-PL"/>
        </w:rPr>
        <w:t>Cel badania</w:t>
      </w:r>
      <w:bookmarkEnd w:id="3"/>
      <w:bookmarkEnd w:id="4"/>
    </w:p>
    <w:p w:rsidR="00996AD2" w:rsidRPr="0096765E" w:rsidRDefault="00996AD2" w:rsidP="00996AD2">
      <w:pPr>
        <w:spacing w:before="120" w:line="276" w:lineRule="auto"/>
        <w:jc w:val="both"/>
        <w:rPr>
          <w:rFonts w:ascii="Tahoma" w:hAnsi="Tahoma" w:cs="Tahoma"/>
          <w:sz w:val="20"/>
          <w:szCs w:val="20"/>
          <w:lang w:val="pl-PL"/>
        </w:rPr>
      </w:pPr>
      <w:r w:rsidRPr="0096765E">
        <w:rPr>
          <w:rFonts w:ascii="Tahoma" w:hAnsi="Tahoma" w:cs="Tahoma"/>
          <w:sz w:val="20"/>
          <w:szCs w:val="20"/>
          <w:lang w:val="pl-PL"/>
        </w:rPr>
        <w:t>Głównym celem badania jest dokonanie oceny postępów realizacji celów szczegółowych określonych dla priorytetów inwestycyjnych/osi priorytetowych RPOWŚ 2014-2020 dla potrzeb przeglądu śródokresowego, ze szczególnym uwzględnieniem zobowiązań wynikających</w:t>
      </w:r>
      <w:r>
        <w:rPr>
          <w:rFonts w:ascii="Tahoma" w:hAnsi="Tahoma" w:cs="Tahoma"/>
          <w:sz w:val="20"/>
          <w:szCs w:val="20"/>
          <w:lang w:val="pl-PL"/>
        </w:rPr>
        <w:t xml:space="preserve"> z </w:t>
      </w:r>
      <w:r w:rsidRPr="0096765E">
        <w:rPr>
          <w:rFonts w:ascii="Tahoma" w:hAnsi="Tahoma" w:cs="Tahoma"/>
          <w:sz w:val="20"/>
          <w:szCs w:val="20"/>
          <w:lang w:val="pl-PL"/>
        </w:rPr>
        <w:t>zapisów ram</w:t>
      </w:r>
      <w:r>
        <w:rPr>
          <w:rFonts w:ascii="Tahoma" w:hAnsi="Tahoma" w:cs="Tahoma"/>
          <w:sz w:val="20"/>
          <w:szCs w:val="20"/>
          <w:lang w:val="pl-PL"/>
        </w:rPr>
        <w:t xml:space="preserve"> i </w:t>
      </w:r>
      <w:r w:rsidRPr="0096765E">
        <w:rPr>
          <w:rFonts w:ascii="Tahoma" w:hAnsi="Tahoma" w:cs="Tahoma"/>
          <w:sz w:val="20"/>
          <w:szCs w:val="20"/>
          <w:lang w:val="pl-PL"/>
        </w:rPr>
        <w:t>rezerwy wykonania.</w:t>
      </w:r>
    </w:p>
    <w:p w:rsidR="00996AD2" w:rsidRPr="00596A49" w:rsidRDefault="00996AD2" w:rsidP="00996AD2">
      <w:pPr>
        <w:pStyle w:val="Akapitzlist"/>
        <w:spacing w:before="120" w:line="256" w:lineRule="auto"/>
        <w:ind w:left="0"/>
        <w:jc w:val="both"/>
        <w:rPr>
          <w:rStyle w:val="normaltextrun"/>
          <w:rFonts w:ascii="Tahoma" w:hAnsi="Tahoma" w:cs="Tahoma"/>
          <w:sz w:val="20"/>
          <w:szCs w:val="20"/>
          <w:lang w:val="pl-PL"/>
        </w:rPr>
      </w:pPr>
      <w:bookmarkStart w:id="5" w:name="_Hlk3412255"/>
      <w:r w:rsidRPr="00596A49">
        <w:rPr>
          <w:rFonts w:ascii="Tahoma" w:hAnsi="Tahoma" w:cs="Tahoma"/>
          <w:color w:val="000000"/>
          <w:sz w:val="20"/>
          <w:szCs w:val="20"/>
          <w:lang w:val="pl-PL"/>
        </w:rPr>
        <w:t>Analizy</w:t>
      </w:r>
      <w:r>
        <w:rPr>
          <w:rFonts w:ascii="Tahoma" w:hAnsi="Tahoma" w:cs="Tahoma"/>
          <w:color w:val="000000"/>
          <w:sz w:val="20"/>
          <w:szCs w:val="20"/>
          <w:lang w:val="pl-PL"/>
        </w:rPr>
        <w:t xml:space="preserve"> i </w:t>
      </w:r>
      <w:r w:rsidRPr="00596A49">
        <w:rPr>
          <w:rFonts w:ascii="Tahoma" w:hAnsi="Tahoma" w:cs="Tahoma"/>
          <w:color w:val="000000"/>
          <w:sz w:val="20"/>
          <w:szCs w:val="20"/>
          <w:lang w:val="pl-PL"/>
        </w:rPr>
        <w:t>oceny dotyczące skuteczności realizacji celów szczegółowych RPOWŚ 2014-2020 będą stanowić podstawę do dyskusji nad kierunkami realokowania środków</w:t>
      </w:r>
      <w:r>
        <w:rPr>
          <w:rFonts w:ascii="Tahoma" w:hAnsi="Tahoma" w:cs="Tahoma"/>
          <w:color w:val="000000"/>
          <w:sz w:val="20"/>
          <w:szCs w:val="20"/>
          <w:lang w:val="pl-PL"/>
        </w:rPr>
        <w:t xml:space="preserve"> w </w:t>
      </w:r>
      <w:r w:rsidRPr="00596A49">
        <w:rPr>
          <w:rFonts w:ascii="Tahoma" w:hAnsi="Tahoma" w:cs="Tahoma"/>
          <w:color w:val="000000"/>
          <w:sz w:val="20"/>
          <w:szCs w:val="20"/>
          <w:lang w:val="pl-PL"/>
        </w:rPr>
        <w:t>ramach rezerwy wykonania</w:t>
      </w:r>
      <w:bookmarkEnd w:id="5"/>
      <w:r w:rsidRPr="00596A49">
        <w:rPr>
          <w:rFonts w:ascii="Tahoma" w:hAnsi="Tahoma" w:cs="Tahoma"/>
          <w:color w:val="000000"/>
          <w:sz w:val="20"/>
          <w:szCs w:val="20"/>
          <w:lang w:val="pl-PL"/>
        </w:rPr>
        <w:t xml:space="preserve">. </w:t>
      </w:r>
      <w:bookmarkStart w:id="6" w:name="_Hlk3412137"/>
      <w:r w:rsidRPr="00596A49">
        <w:rPr>
          <w:rStyle w:val="normaltextrun"/>
          <w:rFonts w:ascii="Tahoma" w:hAnsi="Tahoma" w:cs="Tahoma"/>
          <w:sz w:val="20"/>
          <w:szCs w:val="20"/>
          <w:lang w:val="pl-PL"/>
        </w:rPr>
        <w:t>Osiągnięcie celów pośrednich określonych</w:t>
      </w:r>
      <w:r>
        <w:rPr>
          <w:rStyle w:val="normaltextrun"/>
          <w:rFonts w:ascii="Tahoma" w:hAnsi="Tahoma" w:cs="Tahoma"/>
          <w:sz w:val="20"/>
          <w:szCs w:val="20"/>
          <w:lang w:val="pl-PL"/>
        </w:rPr>
        <w:t xml:space="preserve"> w </w:t>
      </w:r>
      <w:r w:rsidRPr="00596A49">
        <w:rPr>
          <w:rStyle w:val="normaltextrun"/>
          <w:rFonts w:ascii="Tahoma" w:hAnsi="Tahoma" w:cs="Tahoma"/>
          <w:sz w:val="20"/>
          <w:szCs w:val="20"/>
          <w:lang w:val="pl-PL"/>
        </w:rPr>
        <w:t>ramach wykonania jest warunkiem wstępnym ostatecznego przyznania rezerwy wykonania</w:t>
      </w:r>
      <w:bookmarkEnd w:id="6"/>
      <w:r w:rsidRPr="00596A49">
        <w:rPr>
          <w:rStyle w:val="normaltextrun"/>
          <w:rFonts w:ascii="Tahoma" w:hAnsi="Tahoma" w:cs="Tahoma"/>
          <w:sz w:val="20"/>
          <w:szCs w:val="20"/>
          <w:lang w:val="pl-PL"/>
        </w:rPr>
        <w:t>,</w:t>
      </w:r>
      <w:r>
        <w:rPr>
          <w:rStyle w:val="normaltextrun"/>
          <w:rFonts w:ascii="Tahoma" w:hAnsi="Tahoma" w:cs="Tahoma"/>
          <w:sz w:val="20"/>
          <w:szCs w:val="20"/>
          <w:lang w:val="pl-PL"/>
        </w:rPr>
        <w:t xml:space="preserve"> a </w:t>
      </w:r>
      <w:r w:rsidRPr="00596A49">
        <w:rPr>
          <w:rStyle w:val="normaltextrun"/>
          <w:rFonts w:ascii="Tahoma" w:hAnsi="Tahoma" w:cs="Tahoma"/>
          <w:sz w:val="20"/>
          <w:szCs w:val="20"/>
          <w:lang w:val="pl-PL"/>
        </w:rPr>
        <w:t>poważne niepowodzenie</w:t>
      </w:r>
      <w:r>
        <w:rPr>
          <w:rStyle w:val="normaltextrun"/>
          <w:rFonts w:ascii="Tahoma" w:hAnsi="Tahoma" w:cs="Tahoma"/>
          <w:sz w:val="20"/>
          <w:szCs w:val="20"/>
          <w:lang w:val="pl-PL"/>
        </w:rPr>
        <w:t xml:space="preserve"> w </w:t>
      </w:r>
      <w:r w:rsidRPr="00596A49">
        <w:rPr>
          <w:rStyle w:val="normaltextrun"/>
          <w:rFonts w:ascii="Tahoma" w:hAnsi="Tahoma" w:cs="Tahoma"/>
          <w:sz w:val="20"/>
          <w:szCs w:val="20"/>
          <w:lang w:val="pl-PL"/>
        </w:rPr>
        <w:t>ich wykonaniu może prowadzić do zawieszenia płatności okresowych. Osiągnięcie celów końcowych okresu programowania stanowi istotną miarę skutecznego wykorzystania środków</w:t>
      </w:r>
      <w:r>
        <w:rPr>
          <w:rStyle w:val="normaltextrun"/>
          <w:rFonts w:ascii="Tahoma" w:hAnsi="Tahoma" w:cs="Tahoma"/>
          <w:sz w:val="20"/>
          <w:szCs w:val="20"/>
          <w:lang w:val="pl-PL"/>
        </w:rPr>
        <w:t xml:space="preserve"> z </w:t>
      </w:r>
      <w:r w:rsidRPr="00596A49">
        <w:rPr>
          <w:rStyle w:val="normaltextrun"/>
          <w:rFonts w:ascii="Tahoma" w:hAnsi="Tahoma" w:cs="Tahoma"/>
          <w:sz w:val="20"/>
          <w:szCs w:val="20"/>
          <w:lang w:val="pl-PL"/>
        </w:rPr>
        <w:t>EFSI,</w:t>
      </w:r>
      <w:r>
        <w:rPr>
          <w:rStyle w:val="normaltextrun"/>
          <w:rFonts w:ascii="Tahoma" w:hAnsi="Tahoma" w:cs="Tahoma"/>
          <w:sz w:val="20"/>
          <w:szCs w:val="20"/>
          <w:lang w:val="pl-PL"/>
        </w:rPr>
        <w:t xml:space="preserve"> a </w:t>
      </w:r>
      <w:r w:rsidRPr="00596A49">
        <w:rPr>
          <w:rStyle w:val="normaltextrun"/>
          <w:rFonts w:ascii="Tahoma" w:hAnsi="Tahoma" w:cs="Tahoma"/>
          <w:sz w:val="20"/>
          <w:szCs w:val="20"/>
          <w:lang w:val="pl-PL"/>
        </w:rPr>
        <w:t>poważne niepowodzenie</w:t>
      </w:r>
      <w:r>
        <w:rPr>
          <w:rStyle w:val="normaltextrun"/>
          <w:rFonts w:ascii="Tahoma" w:hAnsi="Tahoma" w:cs="Tahoma"/>
          <w:sz w:val="20"/>
          <w:szCs w:val="20"/>
          <w:lang w:val="pl-PL"/>
        </w:rPr>
        <w:t xml:space="preserve"> w </w:t>
      </w:r>
      <w:r w:rsidRPr="00596A49">
        <w:rPr>
          <w:rStyle w:val="normaltextrun"/>
          <w:rFonts w:ascii="Tahoma" w:hAnsi="Tahoma" w:cs="Tahoma"/>
          <w:sz w:val="20"/>
          <w:szCs w:val="20"/>
          <w:lang w:val="pl-PL"/>
        </w:rPr>
        <w:t>wykonaniu tych celów może być podstawą do dokonania korekty finansowej</w:t>
      </w:r>
      <w:r w:rsidRPr="00596A49">
        <w:rPr>
          <w:rStyle w:val="Odwoanieprzypisudolnego"/>
          <w:rFonts w:ascii="Tahoma" w:hAnsi="Tahoma" w:cs="Tahoma"/>
          <w:sz w:val="20"/>
          <w:szCs w:val="20"/>
          <w:lang w:val="pl-PL"/>
        </w:rPr>
        <w:footnoteReference w:id="1"/>
      </w:r>
      <w:r w:rsidRPr="00596A49">
        <w:rPr>
          <w:rStyle w:val="normaltextrun"/>
          <w:rFonts w:ascii="Tahoma" w:hAnsi="Tahoma" w:cs="Tahoma"/>
          <w:sz w:val="20"/>
          <w:szCs w:val="20"/>
          <w:lang w:val="pl-PL"/>
        </w:rPr>
        <w:t>.</w:t>
      </w:r>
    </w:p>
    <w:p w:rsidR="00996AD2" w:rsidRPr="006C3C33" w:rsidRDefault="00996AD2" w:rsidP="00996AD2">
      <w:pPr>
        <w:spacing w:before="120" w:line="276" w:lineRule="auto"/>
        <w:jc w:val="both"/>
        <w:rPr>
          <w:rFonts w:ascii="Tahoma" w:hAnsi="Tahoma" w:cs="Tahoma"/>
          <w:sz w:val="20"/>
          <w:szCs w:val="20"/>
          <w:lang w:val="pl-PL"/>
        </w:rPr>
      </w:pPr>
      <w:r w:rsidRPr="006C3C33">
        <w:rPr>
          <w:rFonts w:ascii="Tahoma" w:hAnsi="Tahoma" w:cs="Tahoma"/>
          <w:sz w:val="20"/>
          <w:szCs w:val="20"/>
          <w:lang w:val="pl-PL"/>
        </w:rPr>
        <w:t>Na podstawie Rozporządzenia wykonawczego (UE) 2018/276 zmieniającego Rozporządzenie wykonawcze (UE) nr 215/2014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6C3C33">
        <w:rPr>
          <w:rFonts w:ascii="Tahoma" w:hAnsi="Tahoma" w:cs="Tahoma"/>
          <w:sz w:val="20"/>
          <w:szCs w:val="20"/>
          <w:lang w:val="pl-PL"/>
        </w:rPr>
        <w:t>odniesieniu do zmian sposobu określania celów pośrednich</w:t>
      </w:r>
      <w:r>
        <w:rPr>
          <w:rFonts w:ascii="Tahoma" w:hAnsi="Tahoma" w:cs="Tahoma"/>
          <w:sz w:val="20"/>
          <w:szCs w:val="20"/>
          <w:lang w:val="pl-PL"/>
        </w:rPr>
        <w:t xml:space="preserve"> i </w:t>
      </w:r>
      <w:r w:rsidRPr="006C3C33">
        <w:rPr>
          <w:rFonts w:ascii="Tahoma" w:hAnsi="Tahoma" w:cs="Tahoma"/>
          <w:sz w:val="20"/>
          <w:szCs w:val="20"/>
          <w:lang w:val="pl-PL"/>
        </w:rPr>
        <w:t>końcowych dla wartości wskaźników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CD0EFE">
        <w:rPr>
          <w:rFonts w:ascii="Tahoma" w:hAnsi="Tahoma" w:cs="Tahoma"/>
          <w:sz w:val="20"/>
          <w:szCs w:val="20"/>
          <w:lang w:val="pl-PL"/>
        </w:rPr>
        <w:t>przypadku Regionalnego Programu Operacyjnego Województwa Świętokrzyskiego na lata 2014-2020 przyjęto, iż:</w:t>
      </w:r>
    </w:p>
    <w:p w:rsidR="00996AD2" w:rsidRPr="007A73F7" w:rsidRDefault="00996AD2" w:rsidP="00996AD2">
      <w:pPr>
        <w:pStyle w:val="Akapitzlist"/>
        <w:numPr>
          <w:ilvl w:val="0"/>
          <w:numId w:val="2"/>
        </w:numPr>
        <w:spacing w:before="120" w:line="256" w:lineRule="auto"/>
        <w:jc w:val="both"/>
        <w:rPr>
          <w:rFonts w:ascii="Tahoma" w:hAnsi="Tahoma"/>
          <w:color w:val="000000"/>
          <w:sz w:val="20"/>
          <w:lang w:val="pl-PL"/>
        </w:rPr>
      </w:pPr>
      <w:r w:rsidRPr="007A73F7">
        <w:rPr>
          <w:rFonts w:ascii="Tahoma" w:hAnsi="Tahoma"/>
          <w:color w:val="000000"/>
          <w:sz w:val="20"/>
          <w:lang w:val="pl-PL"/>
        </w:rPr>
        <w:t xml:space="preserve">ustalenie poziomu realizacji wskaźników finansowych dokonywane jest na podstawie deklaracji wydatków przekazanych do KE, przy czym dla wskaźników finansowych, które do końca 2018 </w:t>
      </w:r>
      <w:r w:rsidRPr="007A73F7">
        <w:rPr>
          <w:rFonts w:ascii="Tahoma" w:hAnsi="Tahoma"/>
          <w:color w:val="000000"/>
          <w:sz w:val="20"/>
          <w:lang w:val="pl-PL"/>
        </w:rPr>
        <w:lastRenderedPageBreak/>
        <w:t>roku nie osiągnęły minimalnego wymaganego poziomu, uwzględnia się wydatki poniesione przez beneficjentów</w:t>
      </w:r>
      <w:r>
        <w:rPr>
          <w:rFonts w:ascii="Tahoma" w:hAnsi="Tahoma"/>
          <w:color w:val="000000"/>
          <w:sz w:val="20"/>
          <w:lang w:val="pl-PL"/>
        </w:rPr>
        <w:t xml:space="preserve"> w </w:t>
      </w:r>
      <w:r w:rsidRPr="007A73F7">
        <w:rPr>
          <w:rFonts w:ascii="Tahoma" w:hAnsi="Tahoma"/>
          <w:color w:val="000000"/>
          <w:sz w:val="20"/>
          <w:lang w:val="pl-PL"/>
        </w:rPr>
        <w:t>roku 2018, ale certyfikowane do Komisji Europejskiej</w:t>
      </w:r>
      <w:r>
        <w:rPr>
          <w:rFonts w:ascii="Tahoma" w:hAnsi="Tahoma"/>
          <w:color w:val="000000"/>
          <w:sz w:val="20"/>
          <w:lang w:val="pl-PL"/>
        </w:rPr>
        <w:t xml:space="preserve"> w </w:t>
      </w:r>
      <w:r w:rsidRPr="007A73F7">
        <w:rPr>
          <w:rFonts w:ascii="Tahoma" w:hAnsi="Tahoma"/>
          <w:color w:val="000000"/>
          <w:sz w:val="20"/>
          <w:lang w:val="pl-PL"/>
        </w:rPr>
        <w:t>roku 2019.</w:t>
      </w:r>
    </w:p>
    <w:p w:rsidR="00996AD2" w:rsidRPr="007A73F7" w:rsidRDefault="00996AD2" w:rsidP="00996AD2">
      <w:pPr>
        <w:pStyle w:val="Akapitzlist"/>
        <w:numPr>
          <w:ilvl w:val="0"/>
          <w:numId w:val="2"/>
        </w:numPr>
        <w:spacing w:before="120" w:line="256" w:lineRule="auto"/>
        <w:jc w:val="both"/>
        <w:rPr>
          <w:rFonts w:ascii="Tahoma" w:hAnsi="Tahoma"/>
          <w:color w:val="000000"/>
          <w:sz w:val="20"/>
          <w:lang w:val="pl-PL"/>
        </w:rPr>
      </w:pPr>
      <w:r w:rsidRPr="007A73F7">
        <w:rPr>
          <w:rFonts w:ascii="Tahoma" w:hAnsi="Tahoma"/>
          <w:color w:val="000000"/>
          <w:sz w:val="20"/>
          <w:lang w:val="pl-PL"/>
        </w:rPr>
        <w:t>ustalenie poziomu realizacji wskaźników produktu dokonywane jest na podstawie wniosków</w:t>
      </w:r>
      <w:r>
        <w:rPr>
          <w:rFonts w:ascii="Tahoma" w:hAnsi="Tahoma"/>
          <w:color w:val="000000"/>
          <w:sz w:val="20"/>
          <w:lang w:val="pl-PL"/>
        </w:rPr>
        <w:t xml:space="preserve"> o </w:t>
      </w:r>
      <w:r w:rsidRPr="007A73F7">
        <w:rPr>
          <w:rFonts w:ascii="Tahoma" w:hAnsi="Tahoma"/>
          <w:color w:val="000000"/>
          <w:sz w:val="20"/>
          <w:lang w:val="pl-PL"/>
        </w:rPr>
        <w:t>płatność zatwierdzonych</w:t>
      </w:r>
      <w:r>
        <w:rPr>
          <w:rFonts w:ascii="Tahoma" w:hAnsi="Tahoma"/>
          <w:color w:val="000000"/>
          <w:sz w:val="20"/>
          <w:lang w:val="pl-PL"/>
        </w:rPr>
        <w:t xml:space="preserve"> w </w:t>
      </w:r>
      <w:r w:rsidRPr="007A73F7">
        <w:rPr>
          <w:rFonts w:ascii="Tahoma" w:hAnsi="Tahoma"/>
          <w:color w:val="000000"/>
          <w:sz w:val="20"/>
          <w:lang w:val="pl-PL"/>
        </w:rPr>
        <w:t xml:space="preserve">systemie SL2014 (częściowych oraz końcowych), przy czym dla wskaźnika </w:t>
      </w:r>
      <w:r w:rsidRPr="007A73F7">
        <w:rPr>
          <w:rFonts w:ascii="Tahoma" w:hAnsi="Tahoma"/>
          <w:i/>
          <w:color w:val="000000"/>
          <w:sz w:val="20"/>
          <w:lang w:val="pl-PL"/>
        </w:rPr>
        <w:t>Liczba przedsiębiorstw otrzymujących dotacje</w:t>
      </w:r>
      <w:r w:rsidRPr="007A73F7">
        <w:rPr>
          <w:rFonts w:ascii="Tahoma" w:hAnsi="Tahoma"/>
          <w:color w:val="000000"/>
          <w:sz w:val="20"/>
          <w:lang w:val="pl-PL"/>
        </w:rPr>
        <w:t xml:space="preserve"> (CI 2) brane są pod uwagę jedynie wnioski</w:t>
      </w:r>
      <w:r>
        <w:rPr>
          <w:rFonts w:ascii="Tahoma" w:hAnsi="Tahoma"/>
          <w:color w:val="000000"/>
          <w:sz w:val="20"/>
          <w:lang w:val="pl-PL"/>
        </w:rPr>
        <w:t xml:space="preserve"> o </w:t>
      </w:r>
      <w:r w:rsidRPr="007A73F7">
        <w:rPr>
          <w:rFonts w:ascii="Tahoma" w:hAnsi="Tahoma"/>
          <w:color w:val="000000"/>
          <w:sz w:val="20"/>
          <w:lang w:val="pl-PL"/>
        </w:rPr>
        <w:t>płatność niezerowe.</w:t>
      </w:r>
    </w:p>
    <w:p w:rsidR="00996AD2" w:rsidRPr="00CD0EFE" w:rsidRDefault="00996AD2" w:rsidP="00996AD2">
      <w:pPr>
        <w:spacing w:before="120" w:line="256" w:lineRule="auto"/>
        <w:ind w:left="360"/>
        <w:jc w:val="both"/>
        <w:rPr>
          <w:rFonts w:ascii="Tahoma" w:hAnsi="Tahoma"/>
          <w:color w:val="000000"/>
          <w:sz w:val="20"/>
          <w:lang w:val="pl-PL"/>
        </w:rPr>
      </w:pPr>
      <w:r w:rsidRPr="00CD0EFE">
        <w:rPr>
          <w:rFonts w:ascii="Tahoma" w:hAnsi="Tahoma"/>
          <w:color w:val="000000"/>
          <w:sz w:val="20"/>
          <w:lang w:val="pl-PL"/>
        </w:rPr>
        <w:t xml:space="preserve">Uwzględniając powyższe warunki, na dzień 31.12.2018 r. wszystkie wskaźniki rzeczowe przekroczyły poziom </w:t>
      </w:r>
      <w:r>
        <w:rPr>
          <w:rFonts w:ascii="Tahoma" w:hAnsi="Tahoma"/>
          <w:color w:val="000000"/>
          <w:sz w:val="20"/>
          <w:lang w:val="pl-PL"/>
        </w:rPr>
        <w:t>100</w:t>
      </w:r>
      <w:r w:rsidRPr="00CD0EFE">
        <w:rPr>
          <w:rFonts w:ascii="Tahoma" w:hAnsi="Tahoma"/>
          <w:color w:val="000000"/>
          <w:sz w:val="20"/>
          <w:lang w:val="pl-PL"/>
        </w:rPr>
        <w:t xml:space="preserve">% realizacji celu pośredniego. </w:t>
      </w:r>
    </w:p>
    <w:p w:rsidR="00996AD2" w:rsidRDefault="00996AD2" w:rsidP="00996AD2">
      <w:pPr>
        <w:spacing w:before="120" w:line="256" w:lineRule="auto"/>
        <w:ind w:left="360"/>
        <w:jc w:val="both"/>
        <w:rPr>
          <w:rFonts w:ascii="Tahoma" w:hAnsi="Tahoma"/>
          <w:color w:val="000000"/>
          <w:sz w:val="20"/>
          <w:lang w:val="pl-PL"/>
        </w:rPr>
      </w:pPr>
      <w:r w:rsidRPr="00CD0EFE">
        <w:rPr>
          <w:rFonts w:ascii="Tahoma" w:hAnsi="Tahoma"/>
          <w:color w:val="000000"/>
          <w:sz w:val="20"/>
          <w:lang w:val="pl-PL"/>
        </w:rPr>
        <w:t xml:space="preserve">W przypadku wskaźników finansowych </w:t>
      </w:r>
      <w:r>
        <w:rPr>
          <w:rFonts w:ascii="Tahoma" w:hAnsi="Tahoma"/>
          <w:color w:val="000000"/>
          <w:sz w:val="20"/>
          <w:lang w:val="pl-PL"/>
        </w:rPr>
        <w:t>osi priorytetowej 1 (</w:t>
      </w:r>
      <w:r w:rsidRPr="00CD0EFE">
        <w:rPr>
          <w:rFonts w:ascii="Tahoma" w:hAnsi="Tahoma"/>
          <w:color w:val="000000"/>
          <w:sz w:val="20"/>
          <w:lang w:val="pl-PL"/>
        </w:rPr>
        <w:t>OP1</w:t>
      </w:r>
      <w:r>
        <w:rPr>
          <w:rFonts w:ascii="Tahoma" w:hAnsi="Tahoma"/>
          <w:color w:val="000000"/>
          <w:sz w:val="20"/>
          <w:lang w:val="pl-PL"/>
        </w:rPr>
        <w:t>)</w:t>
      </w:r>
      <w:r w:rsidRPr="00CD0EFE">
        <w:rPr>
          <w:rFonts w:ascii="Tahoma" w:hAnsi="Tahoma"/>
          <w:color w:val="000000"/>
          <w:sz w:val="20"/>
          <w:lang w:val="pl-PL"/>
        </w:rPr>
        <w:t>, OP3, OP4 oraz OP9, które nie osiągnęły minimalnego wymaganego poziomu na koniec 2018 roku</w:t>
      </w:r>
      <w:r>
        <w:rPr>
          <w:rFonts w:ascii="Tahoma" w:hAnsi="Tahoma"/>
          <w:color w:val="000000"/>
          <w:sz w:val="20"/>
          <w:lang w:val="pl-PL"/>
        </w:rPr>
        <w:t>, w badaniu</w:t>
      </w:r>
      <w:r w:rsidRPr="00CD0EFE">
        <w:rPr>
          <w:rFonts w:ascii="Tahoma" w:hAnsi="Tahoma"/>
          <w:color w:val="000000"/>
          <w:sz w:val="20"/>
          <w:lang w:val="pl-PL"/>
        </w:rPr>
        <w:t xml:space="preserve"> uwzględnion</w:t>
      </w:r>
      <w:r>
        <w:rPr>
          <w:rFonts w:ascii="Tahoma" w:hAnsi="Tahoma"/>
          <w:color w:val="000000"/>
          <w:sz w:val="20"/>
          <w:lang w:val="pl-PL"/>
        </w:rPr>
        <w:t>o</w:t>
      </w:r>
      <w:r w:rsidRPr="00CD0EFE">
        <w:rPr>
          <w:rFonts w:ascii="Tahoma" w:hAnsi="Tahoma"/>
          <w:color w:val="000000"/>
          <w:sz w:val="20"/>
          <w:lang w:val="pl-PL"/>
        </w:rPr>
        <w:t xml:space="preserve"> wydatki poniesione przez beneficjentów</w:t>
      </w:r>
      <w:r>
        <w:rPr>
          <w:rFonts w:ascii="Tahoma" w:hAnsi="Tahoma"/>
          <w:color w:val="000000"/>
          <w:sz w:val="20"/>
          <w:lang w:val="pl-PL"/>
        </w:rPr>
        <w:t xml:space="preserve"> w </w:t>
      </w:r>
      <w:r w:rsidRPr="00CD0EFE">
        <w:rPr>
          <w:rFonts w:ascii="Tahoma" w:hAnsi="Tahoma"/>
          <w:color w:val="000000"/>
          <w:sz w:val="20"/>
          <w:lang w:val="pl-PL"/>
        </w:rPr>
        <w:t>2018 roku,</w:t>
      </w:r>
      <w:r>
        <w:rPr>
          <w:rFonts w:ascii="Tahoma" w:hAnsi="Tahoma"/>
          <w:color w:val="000000"/>
          <w:sz w:val="20"/>
          <w:lang w:val="pl-PL"/>
        </w:rPr>
        <w:t xml:space="preserve"> a </w:t>
      </w:r>
      <w:r w:rsidRPr="00CD0EFE">
        <w:rPr>
          <w:rFonts w:ascii="Tahoma" w:hAnsi="Tahoma"/>
          <w:color w:val="000000"/>
          <w:sz w:val="20"/>
          <w:lang w:val="pl-PL"/>
        </w:rPr>
        <w:t>certyfikowane do KE</w:t>
      </w:r>
      <w:r>
        <w:rPr>
          <w:rFonts w:ascii="Tahoma" w:hAnsi="Tahoma"/>
          <w:color w:val="000000"/>
          <w:sz w:val="20"/>
          <w:lang w:val="pl-PL"/>
        </w:rPr>
        <w:t xml:space="preserve"> w </w:t>
      </w:r>
      <w:r w:rsidRPr="00CD0EFE">
        <w:rPr>
          <w:rFonts w:ascii="Tahoma" w:hAnsi="Tahoma"/>
          <w:color w:val="000000"/>
          <w:sz w:val="20"/>
          <w:lang w:val="pl-PL"/>
        </w:rPr>
        <w:t>roku 2019.</w:t>
      </w:r>
    </w:p>
    <w:p w:rsidR="00D84544" w:rsidRDefault="00D84544" w:rsidP="00D84544">
      <w:pPr>
        <w:pStyle w:val="LBE11"/>
        <w:numPr>
          <w:ilvl w:val="0"/>
          <w:numId w:val="0"/>
        </w:numPr>
        <w:ind w:left="465" w:hanging="465"/>
        <w:rPr>
          <w:lang w:val="pl-PL"/>
        </w:rPr>
      </w:pPr>
      <w:r>
        <w:rPr>
          <w:lang w:val="pl-PL"/>
        </w:rPr>
        <w:t>Streszczenie</w:t>
      </w:r>
      <w:bookmarkEnd w:id="0"/>
    </w:p>
    <w:p w:rsidR="00D84544" w:rsidRPr="00AB265E" w:rsidRDefault="00D84544" w:rsidP="00D84544">
      <w:pPr>
        <w:spacing w:before="240" w:after="120" w:line="288" w:lineRule="auto"/>
        <w:jc w:val="both"/>
        <w:rPr>
          <w:rFonts w:ascii="Tahoma" w:hAnsi="Tahoma" w:cs="Tahoma"/>
          <w:sz w:val="20"/>
          <w:szCs w:val="20"/>
          <w:u w:val="single"/>
          <w:lang w:val="pl-PL"/>
        </w:rPr>
      </w:pPr>
      <w:r w:rsidRPr="00AB265E">
        <w:rPr>
          <w:rFonts w:ascii="Tahoma" w:hAnsi="Tahoma" w:cs="Tahoma"/>
          <w:sz w:val="20"/>
          <w:szCs w:val="20"/>
          <w:u w:val="single"/>
          <w:lang w:val="pl-PL"/>
        </w:rPr>
        <w:t>Oś priorytetowa 1</w:t>
      </w:r>
      <w:r>
        <w:rPr>
          <w:rFonts w:ascii="Tahoma" w:hAnsi="Tahoma" w:cs="Tahoma"/>
          <w:sz w:val="20"/>
          <w:szCs w:val="20"/>
          <w:u w:val="single"/>
          <w:lang w:val="pl-PL"/>
        </w:rPr>
        <w:t>. Innowacje i nauka</w:t>
      </w:r>
    </w:p>
    <w:p w:rsidR="00D84544" w:rsidRPr="00AB265E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 w:rsidRPr="00AB265E">
        <w:rPr>
          <w:rFonts w:ascii="Tahoma" w:hAnsi="Tahoma" w:cs="Tahoma"/>
          <w:sz w:val="20"/>
          <w:szCs w:val="20"/>
          <w:lang w:val="pl-PL"/>
        </w:rPr>
        <w:t>Celem interwencji realizowanej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AB265E">
        <w:rPr>
          <w:rFonts w:ascii="Tahoma" w:hAnsi="Tahoma" w:cs="Tahoma"/>
          <w:sz w:val="20"/>
          <w:szCs w:val="20"/>
          <w:lang w:val="pl-PL"/>
        </w:rPr>
        <w:t>ramach pierwszej osi priorytetowej „Innowacje</w:t>
      </w:r>
      <w:r>
        <w:rPr>
          <w:rFonts w:ascii="Tahoma" w:hAnsi="Tahoma" w:cs="Tahoma"/>
          <w:sz w:val="20"/>
          <w:szCs w:val="20"/>
          <w:lang w:val="pl-PL"/>
        </w:rPr>
        <w:t xml:space="preserve"> i </w:t>
      </w:r>
      <w:r w:rsidRPr="00AB265E">
        <w:rPr>
          <w:rFonts w:ascii="Tahoma" w:hAnsi="Tahoma" w:cs="Tahoma"/>
          <w:sz w:val="20"/>
          <w:szCs w:val="20"/>
          <w:lang w:val="pl-PL"/>
        </w:rPr>
        <w:t>nauka” ma być zwiększone urynkowienie działalności badawczo-rozwojowej oraz zwiększona aktywność badawczo-rozwojowa przedsiębiorstw. Cel ten ma zostać osiągnięty dzięki wsparciu następujących rodzajów projektów: inwestycje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AB265E">
        <w:rPr>
          <w:rFonts w:ascii="Tahoma" w:hAnsi="Tahoma" w:cs="Tahoma"/>
          <w:sz w:val="20"/>
          <w:szCs w:val="20"/>
          <w:lang w:val="pl-PL"/>
        </w:rPr>
        <w:t>infrastrukturę badawczą sektora nauki</w:t>
      </w:r>
      <w:r>
        <w:rPr>
          <w:rFonts w:ascii="Tahoma" w:hAnsi="Tahoma" w:cs="Tahoma"/>
          <w:sz w:val="20"/>
          <w:szCs w:val="20"/>
          <w:lang w:val="pl-PL"/>
        </w:rPr>
        <w:t xml:space="preserve"> i </w:t>
      </w:r>
      <w:r w:rsidRPr="00AB265E">
        <w:rPr>
          <w:rFonts w:ascii="Tahoma" w:hAnsi="Tahoma" w:cs="Tahoma"/>
          <w:sz w:val="20"/>
          <w:szCs w:val="20"/>
          <w:lang w:val="pl-PL"/>
        </w:rPr>
        <w:t xml:space="preserve">sektora przedsiębiorstw oraz projekty badawczo-rozwojowe przedsiębiorstw. </w:t>
      </w:r>
      <w:bookmarkStart w:id="7" w:name="_Hlk3461673"/>
      <w:r w:rsidRPr="00AB265E">
        <w:rPr>
          <w:rFonts w:ascii="Tahoma" w:hAnsi="Tahoma" w:cs="Tahoma"/>
          <w:sz w:val="20"/>
          <w:szCs w:val="20"/>
          <w:lang w:val="pl-PL"/>
        </w:rPr>
        <w:t xml:space="preserve">Na realizację pierwszej osi priorytetowej alokowano ponad 410 mln zł. Wg stanu na koniec 2018r. poziom kontraktacji wynosił </w:t>
      </w:r>
      <w:bookmarkEnd w:id="7"/>
      <w:r w:rsidRPr="00AB265E">
        <w:rPr>
          <w:rFonts w:ascii="Tahoma" w:hAnsi="Tahoma" w:cs="Tahoma"/>
          <w:sz w:val="20"/>
          <w:szCs w:val="20"/>
          <w:lang w:val="pl-PL"/>
        </w:rPr>
        <w:t>78,9%</w:t>
      </w:r>
    </w:p>
    <w:p w:rsidR="00D84544" w:rsidRPr="00AB265E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 w:rsidRPr="00AB265E">
        <w:rPr>
          <w:rFonts w:ascii="Tahoma" w:hAnsi="Tahoma" w:cs="Tahoma"/>
          <w:sz w:val="20"/>
          <w:szCs w:val="20"/>
          <w:lang w:val="pl-PL"/>
        </w:rPr>
        <w:t xml:space="preserve">W ramach wykonania przewidziano 2 wskaźniki: </w:t>
      </w:r>
      <w:r w:rsidRPr="00AB265E">
        <w:rPr>
          <w:rFonts w:ascii="Tahoma" w:hAnsi="Tahoma" w:cs="Tahoma"/>
          <w:i/>
          <w:sz w:val="20"/>
          <w:szCs w:val="20"/>
          <w:lang w:val="pl-PL"/>
        </w:rPr>
        <w:t>li</w:t>
      </w:r>
      <w:bookmarkStart w:id="8" w:name="_GoBack"/>
      <w:bookmarkEnd w:id="8"/>
      <w:r w:rsidRPr="00AB265E">
        <w:rPr>
          <w:rFonts w:ascii="Tahoma" w:hAnsi="Tahoma" w:cs="Tahoma"/>
          <w:i/>
          <w:sz w:val="20"/>
          <w:szCs w:val="20"/>
          <w:lang w:val="pl-PL"/>
        </w:rPr>
        <w:t>czba jednostek naukowych ponoszących nakłady inwestycyjne na działalność B+R, liczba jednostek naukowych ponoszących nakłady inwestycyjne na działalność B+R</w:t>
      </w:r>
      <w:r>
        <w:rPr>
          <w:rFonts w:ascii="Tahoma" w:hAnsi="Tahoma" w:cs="Tahoma"/>
          <w:i/>
          <w:sz w:val="20"/>
          <w:szCs w:val="20"/>
          <w:lang w:val="pl-PL"/>
        </w:rPr>
        <w:t xml:space="preserve"> w </w:t>
      </w:r>
      <w:r w:rsidRPr="00AB265E">
        <w:rPr>
          <w:rFonts w:ascii="Tahoma" w:hAnsi="Tahoma" w:cs="Tahoma"/>
          <w:i/>
          <w:sz w:val="20"/>
          <w:szCs w:val="20"/>
          <w:lang w:val="pl-PL"/>
        </w:rPr>
        <w:t>podpisanych umowach</w:t>
      </w:r>
      <w:r w:rsidRPr="00AB265E">
        <w:rPr>
          <w:rFonts w:ascii="Tahoma" w:hAnsi="Tahoma" w:cs="Tahoma"/>
          <w:sz w:val="20"/>
          <w:szCs w:val="20"/>
          <w:lang w:val="pl-PL"/>
        </w:rPr>
        <w:t xml:space="preserve"> oraz </w:t>
      </w:r>
      <w:r w:rsidRPr="00AB265E">
        <w:rPr>
          <w:rFonts w:ascii="Tahoma" w:hAnsi="Tahoma" w:cs="Tahoma"/>
          <w:i/>
          <w:sz w:val="20"/>
          <w:szCs w:val="20"/>
          <w:lang w:val="pl-PL"/>
        </w:rPr>
        <w:t>całkowita kwota certyfikowanych wydatków</w:t>
      </w:r>
      <w:r w:rsidRPr="00AB265E">
        <w:rPr>
          <w:rFonts w:ascii="Tahoma" w:hAnsi="Tahoma" w:cs="Tahoma"/>
          <w:sz w:val="20"/>
          <w:szCs w:val="20"/>
          <w:lang w:val="pl-PL"/>
        </w:rPr>
        <w:t xml:space="preserve"> kwalifikowanych. Zakładane wartości wskaźników (zarówno celu pośredniego jak</w:t>
      </w:r>
      <w:r>
        <w:rPr>
          <w:rFonts w:ascii="Tahoma" w:hAnsi="Tahoma" w:cs="Tahoma"/>
          <w:sz w:val="20"/>
          <w:szCs w:val="20"/>
          <w:lang w:val="pl-PL"/>
        </w:rPr>
        <w:t xml:space="preserve"> i </w:t>
      </w:r>
      <w:r w:rsidRPr="00AB265E">
        <w:rPr>
          <w:rFonts w:ascii="Tahoma" w:hAnsi="Tahoma" w:cs="Tahoma"/>
          <w:sz w:val="20"/>
          <w:szCs w:val="20"/>
          <w:lang w:val="pl-PL"/>
        </w:rPr>
        <w:t>celu końcowego) zostaną osiągnięte. Jeżeli chodzi</w:t>
      </w:r>
      <w:r>
        <w:rPr>
          <w:rFonts w:ascii="Tahoma" w:hAnsi="Tahoma" w:cs="Tahoma"/>
          <w:sz w:val="20"/>
          <w:szCs w:val="20"/>
          <w:lang w:val="pl-PL"/>
        </w:rPr>
        <w:t xml:space="preserve"> o </w:t>
      </w:r>
      <w:r w:rsidRPr="00AB265E">
        <w:rPr>
          <w:rFonts w:ascii="Tahoma" w:hAnsi="Tahoma" w:cs="Tahoma"/>
          <w:sz w:val="20"/>
          <w:szCs w:val="20"/>
          <w:lang w:val="pl-PL"/>
        </w:rPr>
        <w:t>wskaźniki</w:t>
      </w:r>
      <w:r>
        <w:rPr>
          <w:rFonts w:ascii="Tahoma" w:hAnsi="Tahoma" w:cs="Tahoma"/>
          <w:sz w:val="20"/>
          <w:szCs w:val="20"/>
          <w:lang w:val="pl-PL"/>
        </w:rPr>
        <w:t xml:space="preserve"> z </w:t>
      </w:r>
      <w:r w:rsidRPr="00AB265E">
        <w:rPr>
          <w:rFonts w:ascii="Tahoma" w:hAnsi="Tahoma" w:cs="Tahoma"/>
          <w:sz w:val="20"/>
          <w:szCs w:val="20"/>
          <w:lang w:val="pl-PL"/>
        </w:rPr>
        <w:t xml:space="preserve">poziomu priorytetów inwestycyjnych to wartości docelowe niemal wszystkich zostaną osiągnięte lub przekroczone. Najbardziej zagrożone jest osiągnięcie wartości wskaźnika </w:t>
      </w:r>
      <w:r w:rsidRPr="00AB265E">
        <w:rPr>
          <w:rFonts w:ascii="Tahoma" w:hAnsi="Tahoma" w:cs="Tahoma"/>
          <w:i/>
          <w:sz w:val="20"/>
          <w:szCs w:val="20"/>
          <w:lang w:val="pl-PL"/>
        </w:rPr>
        <w:t>liczba przedsiębiorstw współpracujących</w:t>
      </w:r>
      <w:r>
        <w:rPr>
          <w:rFonts w:ascii="Tahoma" w:hAnsi="Tahoma" w:cs="Tahoma"/>
          <w:i/>
          <w:sz w:val="20"/>
          <w:szCs w:val="20"/>
          <w:lang w:val="pl-PL"/>
        </w:rPr>
        <w:t xml:space="preserve"> z </w:t>
      </w:r>
      <w:r w:rsidRPr="00AB265E">
        <w:rPr>
          <w:rFonts w:ascii="Tahoma" w:hAnsi="Tahoma" w:cs="Tahoma"/>
          <w:i/>
          <w:sz w:val="20"/>
          <w:szCs w:val="20"/>
          <w:lang w:val="pl-PL"/>
        </w:rPr>
        <w:t>ośrodkami badawczymi</w:t>
      </w:r>
      <w:r w:rsidRPr="00AB265E">
        <w:rPr>
          <w:rFonts w:ascii="Tahoma" w:hAnsi="Tahoma" w:cs="Tahoma"/>
          <w:sz w:val="20"/>
          <w:szCs w:val="20"/>
          <w:lang w:val="pl-PL"/>
        </w:rPr>
        <w:t xml:space="preserve"> co wynika</w:t>
      </w:r>
      <w:r>
        <w:rPr>
          <w:rFonts w:ascii="Tahoma" w:hAnsi="Tahoma" w:cs="Tahoma"/>
          <w:sz w:val="20"/>
          <w:szCs w:val="20"/>
          <w:lang w:val="pl-PL"/>
        </w:rPr>
        <w:t xml:space="preserve"> z </w:t>
      </w:r>
      <w:r w:rsidRPr="00AB265E">
        <w:rPr>
          <w:rFonts w:ascii="Tahoma" w:hAnsi="Tahoma" w:cs="Tahoma"/>
          <w:sz w:val="20"/>
          <w:szCs w:val="20"/>
          <w:lang w:val="pl-PL"/>
        </w:rPr>
        <w:t>faktu ustalenia jego wartości docelowej na bardzo wysokim poziomie.</w:t>
      </w:r>
    </w:p>
    <w:p w:rsidR="00D84544" w:rsidRPr="00AB265E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 w:rsidRPr="00AB265E">
        <w:rPr>
          <w:rFonts w:ascii="Tahoma" w:hAnsi="Tahoma" w:cs="Tahoma"/>
          <w:sz w:val="20"/>
          <w:szCs w:val="20"/>
          <w:lang w:val="pl-PL"/>
        </w:rPr>
        <w:t>Po rozstrzygnięciu naborów zaplanowanych na rok 2019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AB265E">
        <w:rPr>
          <w:rFonts w:ascii="Tahoma" w:hAnsi="Tahoma" w:cs="Tahoma"/>
          <w:sz w:val="20"/>
          <w:szCs w:val="20"/>
          <w:lang w:val="pl-PL"/>
        </w:rPr>
        <w:t>ramach pierwszej osi priorytetowej niezakontraktowane będą środki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AB265E">
        <w:rPr>
          <w:rFonts w:ascii="Tahoma" w:hAnsi="Tahoma" w:cs="Tahoma"/>
          <w:sz w:val="20"/>
          <w:szCs w:val="20"/>
          <w:lang w:val="pl-PL"/>
        </w:rPr>
        <w:t>wysokości niemal 42 mln zł. Istnieje ryzyko, że na skutek dużego wzrostu cen</w:t>
      </w:r>
      <w:r>
        <w:rPr>
          <w:rFonts w:ascii="Tahoma" w:hAnsi="Tahoma" w:cs="Tahoma"/>
          <w:sz w:val="20"/>
          <w:szCs w:val="20"/>
          <w:lang w:val="pl-PL"/>
        </w:rPr>
        <w:t xml:space="preserve"> i </w:t>
      </w:r>
      <w:r w:rsidRPr="00AB265E">
        <w:rPr>
          <w:rFonts w:ascii="Tahoma" w:hAnsi="Tahoma" w:cs="Tahoma"/>
          <w:sz w:val="20"/>
          <w:szCs w:val="20"/>
          <w:lang w:val="pl-PL"/>
        </w:rPr>
        <w:t>materiałów budowlanych rzeczywiste koszty inwestycji zaplanowanych do realizacji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AB265E">
        <w:rPr>
          <w:rFonts w:ascii="Tahoma" w:hAnsi="Tahoma" w:cs="Tahoma"/>
          <w:sz w:val="20"/>
          <w:szCs w:val="20"/>
          <w:lang w:val="pl-PL"/>
        </w:rPr>
        <w:t>ramach projektów</w:t>
      </w:r>
      <w:r>
        <w:rPr>
          <w:rFonts w:ascii="Tahoma" w:hAnsi="Tahoma" w:cs="Tahoma"/>
          <w:sz w:val="20"/>
          <w:szCs w:val="20"/>
          <w:lang w:val="pl-PL"/>
        </w:rPr>
        <w:t xml:space="preserve"> z </w:t>
      </w:r>
      <w:r w:rsidRPr="00AB265E">
        <w:rPr>
          <w:rFonts w:ascii="Tahoma" w:hAnsi="Tahoma" w:cs="Tahoma"/>
          <w:sz w:val="20"/>
          <w:szCs w:val="20"/>
          <w:lang w:val="pl-PL"/>
        </w:rPr>
        <w:t>działania 1.1 będą wyższe niż zakładane we wnioskach</w:t>
      </w:r>
      <w:r>
        <w:rPr>
          <w:rFonts w:ascii="Tahoma" w:hAnsi="Tahoma" w:cs="Tahoma"/>
          <w:sz w:val="20"/>
          <w:szCs w:val="20"/>
          <w:lang w:val="pl-PL"/>
        </w:rPr>
        <w:t xml:space="preserve"> o </w:t>
      </w:r>
      <w:r w:rsidRPr="00AB265E">
        <w:rPr>
          <w:rFonts w:ascii="Tahoma" w:hAnsi="Tahoma" w:cs="Tahoma"/>
          <w:sz w:val="20"/>
          <w:szCs w:val="20"/>
          <w:lang w:val="pl-PL"/>
        </w:rPr>
        <w:t>dofinansowanie. Zaleca się część niezakontraktowanych środków (np. rezerwę wykonania) przeznaczyć na poczet ewentualnej konieczności zwiększenia dofinansowania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AB265E">
        <w:rPr>
          <w:rFonts w:ascii="Tahoma" w:hAnsi="Tahoma" w:cs="Tahoma"/>
          <w:sz w:val="20"/>
          <w:szCs w:val="20"/>
          <w:lang w:val="pl-PL"/>
        </w:rPr>
        <w:t>tych projektach. Pozostałe niezakontraktowane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AB265E">
        <w:rPr>
          <w:rFonts w:ascii="Tahoma" w:hAnsi="Tahoma" w:cs="Tahoma"/>
          <w:sz w:val="20"/>
          <w:szCs w:val="20"/>
          <w:lang w:val="pl-PL"/>
        </w:rPr>
        <w:t>pierwszej osi środki rekomenduje się przeznaczyć na ogłaszany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AB265E">
        <w:rPr>
          <w:rFonts w:ascii="Tahoma" w:hAnsi="Tahoma" w:cs="Tahoma"/>
          <w:sz w:val="20"/>
          <w:szCs w:val="20"/>
          <w:lang w:val="pl-PL"/>
        </w:rPr>
        <w:t>2020 roku nabór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AB265E">
        <w:rPr>
          <w:rFonts w:ascii="Tahoma" w:hAnsi="Tahoma" w:cs="Tahoma"/>
          <w:sz w:val="20"/>
          <w:szCs w:val="20"/>
          <w:lang w:val="pl-PL"/>
        </w:rPr>
        <w:t xml:space="preserve">ramach </w:t>
      </w:r>
      <w:r>
        <w:rPr>
          <w:rFonts w:ascii="Tahoma" w:hAnsi="Tahoma" w:cs="Tahoma"/>
          <w:sz w:val="20"/>
          <w:szCs w:val="20"/>
          <w:lang w:val="pl-PL"/>
        </w:rPr>
        <w:t>D</w:t>
      </w:r>
      <w:r w:rsidRPr="00AB265E">
        <w:rPr>
          <w:rFonts w:ascii="Tahoma" w:hAnsi="Tahoma" w:cs="Tahoma"/>
          <w:sz w:val="20"/>
          <w:szCs w:val="20"/>
          <w:lang w:val="pl-PL"/>
        </w:rPr>
        <w:t xml:space="preserve">ziałania 1.2 </w:t>
      </w:r>
    </w:p>
    <w:p w:rsidR="00D84544" w:rsidRPr="00EA3FF7" w:rsidRDefault="00D84544" w:rsidP="00D84544">
      <w:pPr>
        <w:spacing w:before="240" w:after="120" w:line="288" w:lineRule="auto"/>
        <w:jc w:val="both"/>
        <w:rPr>
          <w:rFonts w:ascii="Tahoma" w:hAnsi="Tahoma" w:cs="Tahoma"/>
          <w:sz w:val="20"/>
          <w:szCs w:val="20"/>
          <w:u w:val="single"/>
          <w:lang w:val="pl-PL"/>
        </w:rPr>
      </w:pPr>
      <w:r w:rsidRPr="00EA3FF7">
        <w:rPr>
          <w:rFonts w:ascii="Tahoma" w:hAnsi="Tahoma" w:cs="Tahoma"/>
          <w:sz w:val="20"/>
          <w:szCs w:val="20"/>
          <w:u w:val="single"/>
          <w:lang w:val="pl-PL"/>
        </w:rPr>
        <w:t xml:space="preserve">Oś </w:t>
      </w:r>
      <w:r w:rsidRPr="00AB265E">
        <w:rPr>
          <w:rFonts w:ascii="Tahoma" w:hAnsi="Tahoma" w:cs="Tahoma"/>
          <w:sz w:val="20"/>
          <w:szCs w:val="20"/>
          <w:u w:val="single"/>
          <w:lang w:val="pl-PL"/>
        </w:rPr>
        <w:t>priorytetowa</w:t>
      </w:r>
      <w:r w:rsidRPr="00EA3FF7">
        <w:rPr>
          <w:rFonts w:ascii="Tahoma" w:hAnsi="Tahoma" w:cs="Tahoma"/>
          <w:sz w:val="20"/>
          <w:szCs w:val="20"/>
          <w:u w:val="single"/>
          <w:lang w:val="pl-PL"/>
        </w:rPr>
        <w:t xml:space="preserve"> 2</w:t>
      </w:r>
      <w:r>
        <w:rPr>
          <w:rFonts w:ascii="Tahoma" w:hAnsi="Tahoma" w:cs="Tahoma"/>
          <w:sz w:val="20"/>
          <w:szCs w:val="20"/>
          <w:u w:val="single"/>
          <w:lang w:val="pl-PL"/>
        </w:rPr>
        <w:t>. Konkurencyjna gospodarka</w:t>
      </w:r>
    </w:p>
    <w:p w:rsidR="00D84544" w:rsidRPr="001A7059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u w:val="single"/>
          <w:lang w:val="pl-PL"/>
        </w:rPr>
      </w:pPr>
      <w:r>
        <w:rPr>
          <w:rFonts w:ascii="Tahoma" w:hAnsi="Tahoma" w:cs="Tahoma"/>
          <w:sz w:val="20"/>
          <w:szCs w:val="20"/>
          <w:lang w:val="pl-PL"/>
        </w:rPr>
        <w:t xml:space="preserve">Interwencję w osi 2 ukierunkowano </w:t>
      </w:r>
      <w:r w:rsidRPr="00D727A3">
        <w:rPr>
          <w:rFonts w:ascii="Tahoma" w:hAnsi="Tahoma" w:cs="Tahoma"/>
          <w:sz w:val="20"/>
          <w:szCs w:val="20"/>
          <w:lang w:val="pl-PL"/>
        </w:rPr>
        <w:t xml:space="preserve">na </w:t>
      </w:r>
      <w:r w:rsidRPr="00DD6F93">
        <w:rPr>
          <w:rFonts w:ascii="Tahoma" w:hAnsi="Tahoma" w:cs="Tahoma"/>
          <w:sz w:val="20"/>
          <w:szCs w:val="20"/>
          <w:lang w:val="pl-PL"/>
        </w:rPr>
        <w:t xml:space="preserve">wzrost poziomu konkurencyjności przedsiębiorstw MSP, </w:t>
      </w:r>
      <w:r>
        <w:rPr>
          <w:rFonts w:ascii="Tahoma" w:hAnsi="Tahoma" w:cs="Tahoma"/>
          <w:sz w:val="20"/>
          <w:szCs w:val="20"/>
          <w:lang w:val="pl-PL"/>
        </w:rPr>
        <w:t>opartej</w:t>
      </w:r>
      <w:r w:rsidRPr="00DD6F93">
        <w:rPr>
          <w:rFonts w:ascii="Tahoma" w:hAnsi="Tahoma" w:cs="Tahoma"/>
          <w:sz w:val="20"/>
          <w:szCs w:val="20"/>
          <w:lang w:val="pl-PL"/>
        </w:rPr>
        <w:t xml:space="preserve"> na zwiększonym wykorzystaniu rozwiązań innowacyjnych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DD6F93">
        <w:rPr>
          <w:rFonts w:ascii="Tahoma" w:hAnsi="Tahoma" w:cs="Tahoma"/>
          <w:sz w:val="20"/>
          <w:szCs w:val="20"/>
          <w:lang w:val="pl-PL"/>
        </w:rPr>
        <w:t>prowadzonej działalności gospodarczej.</w:t>
      </w:r>
      <w:r>
        <w:rPr>
          <w:rFonts w:ascii="Tahoma" w:hAnsi="Tahoma" w:cs="Tahoma"/>
          <w:sz w:val="20"/>
          <w:szCs w:val="20"/>
          <w:lang w:val="pl-PL"/>
        </w:rPr>
        <w:t xml:space="preserve"> Działania skoncentrowano na wsparciu otoczenia biznesu w postaci profesjonalizacji usług doradczych IOB, tworzeniu nowych terenów inwestycyjnych oraz promocji gospodarczej regionu. Działania bezpośrednio skierowane do przedsiębiorstw miały charakter wsparcia inwestycyjnego - dotacyjnego i w postaci instrumentów zwrotnych.</w:t>
      </w:r>
    </w:p>
    <w:p w:rsidR="00D84544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>
        <w:rPr>
          <w:rFonts w:ascii="Tahoma" w:hAnsi="Tahoma" w:cs="Tahoma"/>
          <w:sz w:val="20"/>
          <w:szCs w:val="20"/>
          <w:lang w:val="pl-PL"/>
        </w:rPr>
        <w:lastRenderedPageBreak/>
        <w:t xml:space="preserve">Całkowita alokacja (wkład ze środków UE) osi 2 z rezerwą wykonania wynosi 161,2 mln EUR. Na koniec 2018 roku zakontraktowano 67,8% alokacji. Wartości pośrednie wskaźników ram wykonania zostały osiągnięte, co oznacza możliwość wykorzystania rezerwy wykonania w wysokości ok 47 mln zł. Rezerwa wykonania zostanie wykorzystana w całości na dofinansowanie instrumentów finansowych. </w:t>
      </w:r>
    </w:p>
    <w:p w:rsidR="00D84544" w:rsidRPr="009E0785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>
        <w:rPr>
          <w:rFonts w:ascii="Tahoma" w:hAnsi="Tahoma" w:cs="Tahoma"/>
          <w:sz w:val="20"/>
          <w:szCs w:val="20"/>
          <w:lang w:val="pl-PL"/>
        </w:rPr>
        <w:t>Prognozy wskazują, że również wartości docelowe wskaźników ram wykonania będą wykonane i przekroczone. Podobnie, w większości przypadków, wskaźniki programowe produktu będą przekroczone. Wynika to m.in. z uzyskanej większej efektywności wsparcia - koszty jednostkowe projektów były mniejsze niż zakładano. W</w:t>
      </w:r>
      <w:r w:rsidRPr="00215CF9">
        <w:rPr>
          <w:rFonts w:ascii="Tahoma" w:hAnsi="Tahoma" w:cs="Tahoma"/>
          <w:sz w:val="20"/>
          <w:szCs w:val="20"/>
          <w:lang w:val="pl-PL"/>
        </w:rPr>
        <w:t>skaźnik</w:t>
      </w:r>
      <w:r>
        <w:rPr>
          <w:rFonts w:ascii="Tahoma" w:hAnsi="Tahoma" w:cs="Tahoma"/>
          <w:sz w:val="20"/>
          <w:szCs w:val="20"/>
          <w:lang w:val="pl-PL"/>
        </w:rPr>
        <w:t>i</w:t>
      </w:r>
      <w:r w:rsidRPr="00215CF9">
        <w:rPr>
          <w:rFonts w:ascii="Tahoma" w:hAnsi="Tahoma" w:cs="Tahoma"/>
          <w:sz w:val="20"/>
          <w:szCs w:val="20"/>
          <w:lang w:val="pl-PL"/>
        </w:rPr>
        <w:t xml:space="preserve"> programow</w:t>
      </w:r>
      <w:r>
        <w:rPr>
          <w:rFonts w:ascii="Tahoma" w:hAnsi="Tahoma" w:cs="Tahoma"/>
          <w:sz w:val="20"/>
          <w:szCs w:val="20"/>
          <w:lang w:val="pl-PL"/>
        </w:rPr>
        <w:t>e</w:t>
      </w:r>
      <w:r w:rsidRPr="00215CF9">
        <w:rPr>
          <w:rFonts w:ascii="Tahoma" w:hAnsi="Tahoma" w:cs="Tahoma"/>
          <w:sz w:val="20"/>
          <w:szCs w:val="20"/>
          <w:lang w:val="pl-PL"/>
        </w:rPr>
        <w:t xml:space="preserve"> rezultatu</w:t>
      </w:r>
      <w:r>
        <w:rPr>
          <w:rFonts w:ascii="Tahoma" w:hAnsi="Tahoma" w:cs="Tahoma"/>
          <w:sz w:val="20"/>
          <w:szCs w:val="20"/>
          <w:lang w:val="pl-PL"/>
        </w:rPr>
        <w:t>, które charakteryzują wpływ programu na sytuację makroekonomiczna regionu</w:t>
      </w:r>
      <w:r w:rsidRPr="009E0785">
        <w:rPr>
          <w:rFonts w:ascii="Tahoma" w:hAnsi="Tahoma" w:cs="Tahoma"/>
          <w:sz w:val="20"/>
          <w:szCs w:val="20"/>
          <w:lang w:val="pl-PL"/>
        </w:rPr>
        <w:t xml:space="preserve"> (</w:t>
      </w:r>
      <w:r w:rsidRPr="00784417">
        <w:rPr>
          <w:rFonts w:ascii="Tahoma" w:hAnsi="Tahoma" w:cs="Tahoma"/>
          <w:i/>
          <w:sz w:val="20"/>
          <w:szCs w:val="20"/>
          <w:lang w:val="pl-PL"/>
        </w:rPr>
        <w:t>Nakłady inwestycyjne</w:t>
      </w:r>
      <w:r>
        <w:rPr>
          <w:rFonts w:ascii="Tahoma" w:hAnsi="Tahoma" w:cs="Tahoma"/>
          <w:i/>
          <w:sz w:val="20"/>
          <w:szCs w:val="20"/>
          <w:lang w:val="pl-PL"/>
        </w:rPr>
        <w:t xml:space="preserve"> w </w:t>
      </w:r>
      <w:r w:rsidRPr="00784417">
        <w:rPr>
          <w:rFonts w:ascii="Tahoma" w:hAnsi="Tahoma" w:cs="Tahoma"/>
          <w:i/>
          <w:sz w:val="20"/>
          <w:szCs w:val="20"/>
          <w:lang w:val="pl-PL"/>
        </w:rPr>
        <w:t>przedsiębiorstwach</w:t>
      </w:r>
      <w:r>
        <w:rPr>
          <w:rFonts w:ascii="Tahoma" w:hAnsi="Tahoma" w:cs="Tahoma"/>
          <w:i/>
          <w:sz w:val="20"/>
          <w:szCs w:val="20"/>
          <w:lang w:val="pl-PL"/>
        </w:rPr>
        <w:t xml:space="preserve"> w </w:t>
      </w:r>
      <w:r w:rsidRPr="00784417">
        <w:rPr>
          <w:rFonts w:ascii="Tahoma" w:hAnsi="Tahoma" w:cs="Tahoma"/>
          <w:i/>
          <w:sz w:val="20"/>
          <w:szCs w:val="20"/>
          <w:lang w:val="pl-PL"/>
        </w:rPr>
        <w:t>stosunku do PKB</w:t>
      </w:r>
      <w:r w:rsidRPr="009E0785">
        <w:rPr>
          <w:rFonts w:ascii="Tahoma" w:hAnsi="Tahoma" w:cs="Tahoma"/>
          <w:i/>
          <w:sz w:val="20"/>
          <w:szCs w:val="20"/>
          <w:lang w:val="pl-PL"/>
        </w:rPr>
        <w:t xml:space="preserve">, </w:t>
      </w:r>
      <w:r w:rsidRPr="00784417">
        <w:rPr>
          <w:rFonts w:ascii="Tahoma" w:hAnsi="Tahoma" w:cs="Tahoma"/>
          <w:i/>
          <w:sz w:val="20"/>
          <w:szCs w:val="20"/>
          <w:lang w:val="pl-PL"/>
        </w:rPr>
        <w:t>Średni udział przedsiębiorstw innowacyjnych</w:t>
      </w:r>
      <w:r>
        <w:rPr>
          <w:rFonts w:ascii="Tahoma" w:hAnsi="Tahoma" w:cs="Tahoma"/>
          <w:i/>
          <w:sz w:val="20"/>
          <w:szCs w:val="20"/>
          <w:lang w:val="pl-PL"/>
        </w:rPr>
        <w:t xml:space="preserve"> w </w:t>
      </w:r>
      <w:r w:rsidRPr="00784417">
        <w:rPr>
          <w:rFonts w:ascii="Tahoma" w:hAnsi="Tahoma" w:cs="Tahoma"/>
          <w:i/>
          <w:sz w:val="20"/>
          <w:szCs w:val="20"/>
          <w:lang w:val="pl-PL"/>
        </w:rPr>
        <w:t>ogólnej liczbie przedsiębiorstw przemysłowych</w:t>
      </w:r>
      <w:r>
        <w:rPr>
          <w:rFonts w:ascii="Tahoma" w:hAnsi="Tahoma" w:cs="Tahoma"/>
          <w:i/>
          <w:sz w:val="20"/>
          <w:szCs w:val="20"/>
          <w:lang w:val="pl-PL"/>
        </w:rPr>
        <w:t xml:space="preserve"> i z </w:t>
      </w:r>
      <w:r w:rsidRPr="00784417">
        <w:rPr>
          <w:rFonts w:ascii="Tahoma" w:hAnsi="Tahoma" w:cs="Tahoma"/>
          <w:i/>
          <w:sz w:val="20"/>
          <w:szCs w:val="20"/>
          <w:lang w:val="pl-PL"/>
        </w:rPr>
        <w:t>sektora usług</w:t>
      </w:r>
      <w:r w:rsidRPr="009E0785">
        <w:rPr>
          <w:rFonts w:ascii="Tahoma" w:hAnsi="Tahoma" w:cs="Tahoma"/>
          <w:i/>
          <w:sz w:val="20"/>
          <w:szCs w:val="20"/>
          <w:lang w:val="pl-PL"/>
        </w:rPr>
        <w:t xml:space="preserve">) </w:t>
      </w:r>
      <w:r w:rsidRPr="009E0785">
        <w:rPr>
          <w:rFonts w:ascii="Tahoma" w:hAnsi="Tahoma" w:cs="Tahoma"/>
          <w:sz w:val="20"/>
          <w:szCs w:val="20"/>
          <w:lang w:val="pl-PL"/>
        </w:rPr>
        <w:t>nie zostaną osiągnięte</w:t>
      </w:r>
      <w:r>
        <w:rPr>
          <w:rFonts w:ascii="Tahoma" w:hAnsi="Tahoma" w:cs="Tahoma"/>
          <w:sz w:val="20"/>
          <w:szCs w:val="20"/>
          <w:lang w:val="pl-PL"/>
        </w:rPr>
        <w:t xml:space="preserve"> w pełni osiągnięte</w:t>
      </w:r>
      <w:r w:rsidRPr="009E0785">
        <w:rPr>
          <w:rFonts w:ascii="Tahoma" w:hAnsi="Tahoma" w:cs="Tahoma"/>
          <w:sz w:val="20"/>
          <w:szCs w:val="20"/>
          <w:lang w:val="pl-PL"/>
        </w:rPr>
        <w:t>.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9E0785">
        <w:rPr>
          <w:rFonts w:ascii="Tahoma" w:hAnsi="Tahoma" w:cs="Tahoma"/>
          <w:sz w:val="20"/>
          <w:szCs w:val="20"/>
          <w:lang w:val="pl-PL"/>
        </w:rPr>
        <w:t>modelach ekonometrycznych zidentyfikowano pozytywny wpływ RPOWŚ na te wskaźniki, ale na ostateczny wynik nałożyły się negatywne trendy dotyczące ogółu przedsiębiorstw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9E0785">
        <w:rPr>
          <w:rFonts w:ascii="Tahoma" w:hAnsi="Tahoma" w:cs="Tahoma"/>
          <w:sz w:val="20"/>
          <w:szCs w:val="20"/>
          <w:lang w:val="pl-PL"/>
        </w:rPr>
        <w:t xml:space="preserve">województwie. </w:t>
      </w:r>
      <w:r>
        <w:rPr>
          <w:rFonts w:ascii="Tahoma" w:hAnsi="Tahoma" w:cs="Tahoma"/>
          <w:sz w:val="20"/>
          <w:szCs w:val="20"/>
          <w:lang w:val="pl-PL"/>
        </w:rPr>
        <w:t xml:space="preserve">Wskaźnik </w:t>
      </w:r>
      <w:r w:rsidRPr="00E77E9E">
        <w:rPr>
          <w:rFonts w:ascii="Tahoma" w:hAnsi="Tahoma" w:cs="Tahoma"/>
          <w:i/>
          <w:sz w:val="20"/>
          <w:szCs w:val="20"/>
          <w:lang w:val="pl-PL"/>
        </w:rPr>
        <w:t>Wartość eksportu MSP</w:t>
      </w:r>
      <w:r>
        <w:rPr>
          <w:rFonts w:ascii="Tahoma" w:hAnsi="Tahoma" w:cs="Tahoma"/>
          <w:sz w:val="20"/>
          <w:szCs w:val="20"/>
          <w:lang w:val="pl-PL"/>
        </w:rPr>
        <w:t xml:space="preserve"> osiągnie 96% wartości docelowej w 2023 r.</w:t>
      </w:r>
    </w:p>
    <w:p w:rsidR="00D84544" w:rsidRPr="00311E20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>
        <w:rPr>
          <w:rFonts w:ascii="Tahoma" w:hAnsi="Tahoma" w:cs="Tahoma"/>
          <w:sz w:val="20"/>
          <w:szCs w:val="20"/>
          <w:lang w:val="pl-PL"/>
        </w:rPr>
        <w:t>Po zakończeniu naborów w 2019 r. w Działaniach z </w:t>
      </w:r>
      <w:r w:rsidRPr="00DE076E">
        <w:rPr>
          <w:rFonts w:ascii="Tahoma" w:hAnsi="Tahoma" w:cs="Tahoma"/>
          <w:sz w:val="20"/>
          <w:szCs w:val="20"/>
          <w:lang w:val="pl-PL"/>
        </w:rPr>
        <w:t>2.1, 2.2</w:t>
      </w:r>
      <w:r>
        <w:rPr>
          <w:rFonts w:ascii="Tahoma" w:hAnsi="Tahoma" w:cs="Tahoma"/>
          <w:sz w:val="20"/>
          <w:szCs w:val="20"/>
          <w:lang w:val="pl-PL"/>
        </w:rPr>
        <w:t xml:space="preserve"> i </w:t>
      </w:r>
      <w:r w:rsidRPr="00DE076E">
        <w:rPr>
          <w:rFonts w:ascii="Tahoma" w:hAnsi="Tahoma" w:cs="Tahoma"/>
          <w:sz w:val="20"/>
          <w:szCs w:val="20"/>
          <w:lang w:val="pl-PL"/>
        </w:rPr>
        <w:t xml:space="preserve">2.4 </w:t>
      </w:r>
      <w:r>
        <w:rPr>
          <w:rFonts w:ascii="Tahoma" w:hAnsi="Tahoma" w:cs="Tahoma"/>
          <w:sz w:val="20"/>
          <w:szCs w:val="20"/>
          <w:lang w:val="pl-PL"/>
        </w:rPr>
        <w:t xml:space="preserve">pozostanie jeszcze </w:t>
      </w:r>
      <w:r w:rsidRPr="009E0785">
        <w:rPr>
          <w:rFonts w:ascii="Tahoma" w:hAnsi="Tahoma" w:cs="Tahoma"/>
          <w:sz w:val="20"/>
          <w:szCs w:val="20"/>
          <w:lang w:val="pl-PL"/>
        </w:rPr>
        <w:t xml:space="preserve">ok. </w:t>
      </w:r>
      <w:r w:rsidRPr="00311E20">
        <w:rPr>
          <w:rFonts w:ascii="Tahoma" w:hAnsi="Tahoma" w:cs="Tahoma"/>
          <w:sz w:val="20"/>
          <w:szCs w:val="20"/>
          <w:lang w:val="pl-PL"/>
        </w:rPr>
        <w:t>8,3 </w:t>
      </w:r>
      <w:r w:rsidRPr="009E0785">
        <w:rPr>
          <w:rFonts w:ascii="Tahoma" w:hAnsi="Tahoma" w:cs="Tahoma"/>
          <w:sz w:val="20"/>
          <w:szCs w:val="20"/>
          <w:lang w:val="pl-PL"/>
        </w:rPr>
        <w:t>mln zł</w:t>
      </w:r>
      <w:r>
        <w:rPr>
          <w:rFonts w:ascii="Tahoma" w:hAnsi="Tahoma" w:cs="Tahoma"/>
          <w:sz w:val="20"/>
          <w:szCs w:val="20"/>
          <w:lang w:val="pl-PL"/>
        </w:rPr>
        <w:t>. P</w:t>
      </w:r>
      <w:r w:rsidRPr="00311E20">
        <w:rPr>
          <w:rFonts w:ascii="Tahoma" w:hAnsi="Tahoma" w:cs="Tahoma"/>
          <w:sz w:val="20"/>
          <w:szCs w:val="20"/>
          <w:lang w:val="pl-PL"/>
        </w:rPr>
        <w:t>roponuje się realokowanie niezakontraktowanych</w:t>
      </w:r>
      <w:r w:rsidRPr="00DE076E">
        <w:rPr>
          <w:rFonts w:ascii="Tahoma" w:hAnsi="Tahoma" w:cs="Tahoma"/>
          <w:sz w:val="20"/>
          <w:szCs w:val="20"/>
          <w:lang w:val="pl-PL"/>
        </w:rPr>
        <w:t xml:space="preserve"> środków na </w:t>
      </w:r>
      <w:r>
        <w:rPr>
          <w:rFonts w:ascii="Tahoma" w:hAnsi="Tahoma" w:cs="Tahoma"/>
          <w:sz w:val="20"/>
          <w:szCs w:val="20"/>
          <w:lang w:val="pl-PL"/>
        </w:rPr>
        <w:t xml:space="preserve">Działanie </w:t>
      </w:r>
      <w:r w:rsidRPr="00DE076E">
        <w:rPr>
          <w:rFonts w:ascii="Tahoma" w:hAnsi="Tahoma" w:cs="Tahoma"/>
          <w:sz w:val="20"/>
          <w:szCs w:val="20"/>
          <w:lang w:val="pl-PL"/>
        </w:rPr>
        <w:t>2</w:t>
      </w:r>
      <w:r w:rsidRPr="00311E20">
        <w:rPr>
          <w:rFonts w:ascii="Tahoma" w:hAnsi="Tahoma" w:cs="Tahoma"/>
          <w:sz w:val="20"/>
          <w:szCs w:val="20"/>
          <w:lang w:val="pl-PL"/>
        </w:rPr>
        <w:t>.5</w:t>
      </w:r>
      <w:r>
        <w:rPr>
          <w:rFonts w:ascii="Tahoma" w:hAnsi="Tahoma" w:cs="Tahoma"/>
          <w:sz w:val="20"/>
          <w:szCs w:val="20"/>
          <w:lang w:val="pl-PL"/>
        </w:rPr>
        <w:t>,</w:t>
      </w:r>
      <w:r w:rsidRPr="00311E20">
        <w:rPr>
          <w:rFonts w:ascii="Tahoma" w:hAnsi="Tahoma" w:cs="Tahoma"/>
          <w:sz w:val="20"/>
          <w:szCs w:val="20"/>
          <w:lang w:val="pl-PL"/>
        </w:rPr>
        <w:t xml:space="preserve"> gdzie jest duże zapotrzebowanie na środki.</w:t>
      </w:r>
    </w:p>
    <w:p w:rsidR="00D84544" w:rsidRPr="00F14479" w:rsidRDefault="00D84544" w:rsidP="00D84544">
      <w:pPr>
        <w:spacing w:before="240" w:after="120" w:line="288" w:lineRule="auto"/>
        <w:jc w:val="both"/>
        <w:rPr>
          <w:rFonts w:ascii="Tahoma" w:hAnsi="Tahoma" w:cs="Tahoma"/>
          <w:sz w:val="20"/>
          <w:szCs w:val="20"/>
          <w:u w:val="single"/>
          <w:lang w:val="pl-PL"/>
        </w:rPr>
      </w:pPr>
      <w:bookmarkStart w:id="9" w:name="_Hlk5347274"/>
      <w:r w:rsidRPr="00F14479">
        <w:rPr>
          <w:rFonts w:ascii="Tahoma" w:hAnsi="Tahoma" w:cs="Tahoma"/>
          <w:sz w:val="20"/>
          <w:szCs w:val="20"/>
          <w:u w:val="single"/>
          <w:lang w:val="pl-PL"/>
        </w:rPr>
        <w:t>Oś priorytetowa 3. Efektywna</w:t>
      </w:r>
      <w:r>
        <w:rPr>
          <w:rFonts w:ascii="Tahoma" w:hAnsi="Tahoma" w:cs="Tahoma"/>
          <w:sz w:val="20"/>
          <w:szCs w:val="20"/>
          <w:u w:val="single"/>
          <w:lang w:val="pl-PL"/>
        </w:rPr>
        <w:t xml:space="preserve"> i </w:t>
      </w:r>
      <w:r w:rsidRPr="00F14479">
        <w:rPr>
          <w:rFonts w:ascii="Tahoma" w:hAnsi="Tahoma" w:cs="Tahoma"/>
          <w:sz w:val="20"/>
          <w:szCs w:val="20"/>
          <w:u w:val="single"/>
          <w:lang w:val="pl-PL"/>
        </w:rPr>
        <w:t>zielona energia</w:t>
      </w:r>
    </w:p>
    <w:p w:rsidR="00D84544" w:rsidRDefault="00D84544" w:rsidP="00D84544">
      <w:pPr>
        <w:spacing w:after="120" w:line="288" w:lineRule="auto"/>
        <w:jc w:val="both"/>
        <w:rPr>
          <w:rFonts w:ascii="Tahoma" w:eastAsia="Calibri" w:hAnsi="Tahoma" w:cs="Tahoma"/>
          <w:sz w:val="20"/>
          <w:szCs w:val="20"/>
          <w:lang w:val="pl-PL"/>
        </w:rPr>
      </w:pPr>
      <w:r>
        <w:rPr>
          <w:rFonts w:ascii="Tahoma" w:eastAsia="Calibri" w:hAnsi="Tahoma" w:cs="Tahoma"/>
          <w:sz w:val="20"/>
          <w:szCs w:val="20"/>
          <w:lang w:val="pl-PL"/>
        </w:rPr>
        <w:t xml:space="preserve">Celem interwencji realizowanej w ramach trzeciej osi priorytetowej </w:t>
      </w:r>
      <w:bookmarkStart w:id="10" w:name="_Hlk4652843"/>
      <w:r>
        <w:rPr>
          <w:rFonts w:ascii="Tahoma" w:eastAsia="Calibri" w:hAnsi="Tahoma" w:cs="Tahoma"/>
          <w:sz w:val="20"/>
          <w:szCs w:val="20"/>
          <w:lang w:val="pl-PL"/>
        </w:rPr>
        <w:t>„Efektywna i zielona energia</w:t>
      </w:r>
      <w:bookmarkEnd w:id="10"/>
      <w:r>
        <w:rPr>
          <w:rFonts w:ascii="Tahoma" w:eastAsia="Calibri" w:hAnsi="Tahoma" w:cs="Tahoma"/>
          <w:sz w:val="20"/>
          <w:szCs w:val="20"/>
          <w:lang w:val="pl-PL"/>
        </w:rPr>
        <w:t>” jest poprawa efektywności energetycznej oraz zwiększenie poziomu wykorzystania energii pochodzącej ze źródeł odnawialnych, a w rezultacie ograniczenie emisji gazów cieplarnianych i substancji szkodliwych do atmosfery. Na realizację trzeciej osi priorytetowej alokowano kwotę 174,7 mln EUR (749,9 mln zł). Na koniec 2018 roku zakontraktowano 40,5% alokacji.</w:t>
      </w:r>
    </w:p>
    <w:p w:rsidR="00D84544" w:rsidRDefault="00D84544" w:rsidP="00D84544">
      <w:pPr>
        <w:spacing w:after="120" w:line="288" w:lineRule="auto"/>
        <w:jc w:val="both"/>
        <w:rPr>
          <w:rFonts w:ascii="Tahoma" w:eastAsia="Calibri" w:hAnsi="Tahoma" w:cs="Tahoma"/>
          <w:sz w:val="20"/>
          <w:szCs w:val="20"/>
          <w:lang w:val="pl-PL"/>
        </w:rPr>
      </w:pPr>
      <w:r>
        <w:rPr>
          <w:rFonts w:ascii="Tahoma" w:eastAsia="Calibri" w:hAnsi="Tahoma" w:cs="Tahoma"/>
          <w:sz w:val="20"/>
          <w:szCs w:val="20"/>
          <w:lang w:val="pl-PL"/>
        </w:rPr>
        <w:t xml:space="preserve">W ramach wykonania przewidziano 4 wskaźniki: </w:t>
      </w:r>
      <w:r>
        <w:rPr>
          <w:rFonts w:ascii="Tahoma" w:eastAsia="Calibri" w:hAnsi="Tahoma" w:cs="Tahoma"/>
          <w:i/>
          <w:sz w:val="20"/>
          <w:szCs w:val="20"/>
          <w:lang w:val="pl-PL"/>
        </w:rPr>
        <w:t>Liczba jednostek wytwarzania energii elektrycznej z OZE</w:t>
      </w:r>
      <w:r>
        <w:rPr>
          <w:rFonts w:ascii="Tahoma" w:eastAsia="Calibri" w:hAnsi="Tahoma" w:cs="Tahoma"/>
          <w:sz w:val="20"/>
          <w:szCs w:val="20"/>
          <w:lang w:val="pl-PL"/>
        </w:rPr>
        <w:t xml:space="preserve">, </w:t>
      </w:r>
      <w:r>
        <w:rPr>
          <w:rFonts w:ascii="Tahoma" w:eastAsia="Calibri" w:hAnsi="Tahoma" w:cs="Tahoma"/>
          <w:i/>
          <w:sz w:val="20"/>
          <w:szCs w:val="20"/>
          <w:lang w:val="pl-PL"/>
        </w:rPr>
        <w:t>Liczba przedsiębiorstw, które w wyniku wsparcia poprawiły efektywność energetyczną,</w:t>
      </w:r>
      <w:r>
        <w:rPr>
          <w:rFonts w:ascii="Tahoma" w:eastAsia="Calibri" w:hAnsi="Tahoma" w:cs="Tahoma"/>
          <w:sz w:val="20"/>
          <w:szCs w:val="20"/>
          <w:lang w:val="pl-PL"/>
        </w:rPr>
        <w:t xml:space="preserve"> </w:t>
      </w:r>
      <w:r>
        <w:rPr>
          <w:rFonts w:ascii="Tahoma" w:eastAsia="Calibri" w:hAnsi="Tahoma" w:cs="Tahoma"/>
          <w:i/>
          <w:sz w:val="20"/>
          <w:szCs w:val="20"/>
          <w:lang w:val="pl-PL"/>
        </w:rPr>
        <w:t>Liczba zmodernizowanych energetycznie budynków</w:t>
      </w:r>
      <w:r>
        <w:rPr>
          <w:rFonts w:ascii="Tahoma" w:eastAsia="Calibri" w:hAnsi="Tahoma" w:cs="Tahoma"/>
          <w:sz w:val="20"/>
          <w:szCs w:val="20"/>
          <w:lang w:val="pl-PL"/>
        </w:rPr>
        <w:t xml:space="preserve"> oraz </w:t>
      </w:r>
      <w:r>
        <w:rPr>
          <w:rFonts w:ascii="Tahoma" w:eastAsia="Calibri" w:hAnsi="Tahoma" w:cs="Tahoma"/>
          <w:i/>
          <w:sz w:val="20"/>
          <w:szCs w:val="20"/>
          <w:lang w:val="pl-PL"/>
        </w:rPr>
        <w:t>Całkowita kwota certyfikowanych wydatków kwalifikowanych</w:t>
      </w:r>
      <w:r>
        <w:rPr>
          <w:rFonts w:ascii="Tahoma" w:eastAsia="Calibri" w:hAnsi="Tahoma" w:cs="Tahoma"/>
          <w:sz w:val="20"/>
          <w:szCs w:val="20"/>
          <w:lang w:val="pl-PL"/>
        </w:rPr>
        <w:t>. Na koniec 2018 r. wskaźnik finansowy osiągnął 76%</w:t>
      </w:r>
      <w:r>
        <w:rPr>
          <w:rFonts w:ascii="Tahoma" w:hAnsi="Tahoma" w:cs="Tahoma"/>
          <w:sz w:val="20"/>
          <w:szCs w:val="20"/>
          <w:vertAlign w:val="superscript"/>
        </w:rPr>
        <w:footnoteReference w:id="2"/>
      </w:r>
      <w:r>
        <w:rPr>
          <w:rFonts w:ascii="Tahoma" w:eastAsia="Calibri" w:hAnsi="Tahoma" w:cs="Tahoma"/>
          <w:sz w:val="20"/>
          <w:szCs w:val="20"/>
          <w:lang w:val="pl-PL"/>
        </w:rPr>
        <w:t xml:space="preserve"> zakładanej wartości pośredniej, a poziom realizacji pozostałych wskaźników wyniósł ponad 100%, tym samym że cel pośredni ram wykonania został osiągnięty i osi 3 przysługuje rezerwa wykonania. Łączna kwota środków UE, która pozostanie w osi 3 do zakontraktowania po 2019 r., wynosi ok. 60,5 mln zł (w tym 38,9 mln zł z rezerwy wykonania), natomiast w działaniach 3.3 i 3.4 zidentyfikowano potencjał absorpcji dodatkowych środków na poziomie przynajmniej 60 ml zł (lista rezerwowa w Działaniu 3.3 oraz nierozstrzygnięte nabory w Działaniu 3.4), co oznacza, że 100% środków alokowanych na 3. oś priorytetową może zostać wykorzystanych bez potrzeby przeprowadzania dodatkowych naborów. Według przeprowadzonych analiz i oszacowań, niezależnie od tego, czy nastąpi realokacja środków UE pomiędzy poszczególnymi działaniami osi 3, czy też zostaną one zakontraktowane zgodnie z obecnym rozkładem alokacji, cele końcowe wyznaczone dla wskaźników ram wykonania zostaną osiągnięte.</w:t>
      </w:r>
    </w:p>
    <w:p w:rsidR="00D84544" w:rsidRDefault="00D84544" w:rsidP="00D84544">
      <w:pPr>
        <w:spacing w:after="120" w:line="288" w:lineRule="auto"/>
        <w:jc w:val="both"/>
        <w:rPr>
          <w:rFonts w:ascii="Tahoma" w:eastAsia="Calibri" w:hAnsi="Tahoma" w:cs="Tahoma"/>
          <w:sz w:val="20"/>
          <w:szCs w:val="20"/>
          <w:lang w:val="pl-PL"/>
        </w:rPr>
      </w:pPr>
      <w:r>
        <w:rPr>
          <w:rFonts w:ascii="Tahoma" w:eastAsia="Calibri" w:hAnsi="Tahoma" w:cs="Tahoma"/>
          <w:sz w:val="20"/>
          <w:szCs w:val="20"/>
          <w:lang w:val="pl-PL"/>
        </w:rPr>
        <w:t xml:space="preserve">Dotychczasową efektywność interwencji w odniesieniu do zakładanych celów szczegółowych w zakresie zwiększania udziału OZE w produkcji energii, zwiększania efektywności energetycznej przedsiębiorstw oraz budynków publicznych i mieszkaniowych, a także ograniczania emisji pyłów i substancji szkodliwych do atmosfery, należy ocenić jako wysoką, czego przejawem są prognozowane przekroczenia (niekiedy znaczące) zakładanych wartości docelowych dużej części wskaźników programu. Wskaźniki, </w:t>
      </w:r>
      <w:r>
        <w:rPr>
          <w:rFonts w:ascii="Tahoma" w:eastAsia="Calibri" w:hAnsi="Tahoma" w:cs="Tahoma"/>
          <w:sz w:val="20"/>
          <w:szCs w:val="20"/>
          <w:lang w:val="pl-PL"/>
        </w:rPr>
        <w:lastRenderedPageBreak/>
        <w:t xml:space="preserve">których przewidywany poziom realizacji będzie niższy niż zakładano, zostały albo błędnie czy nieadekwatnie do realiów wdrożeniowych oszacowane, albo zostaną zrekompensowane zwiększonym wykonaniem innych wskaźników w tych samych priorytetach inwestycyjnych w związku z innym niż zakładano rozkładem typów przedsięwzięć w poszczególnych priorytetach inwestycyjnych. </w:t>
      </w:r>
    </w:p>
    <w:bookmarkEnd w:id="9"/>
    <w:p w:rsidR="00D84544" w:rsidRPr="00F14479" w:rsidRDefault="00D84544" w:rsidP="00D84544">
      <w:pPr>
        <w:spacing w:before="240" w:after="120" w:line="288" w:lineRule="auto"/>
        <w:jc w:val="both"/>
        <w:rPr>
          <w:rFonts w:ascii="Tahoma" w:hAnsi="Tahoma" w:cs="Tahoma"/>
          <w:sz w:val="20"/>
          <w:szCs w:val="20"/>
          <w:u w:val="single"/>
          <w:lang w:val="pl-PL"/>
        </w:rPr>
      </w:pPr>
      <w:r>
        <w:rPr>
          <w:rFonts w:ascii="Tahoma" w:hAnsi="Tahoma" w:cs="Tahoma"/>
          <w:sz w:val="20"/>
          <w:szCs w:val="20"/>
          <w:u w:val="single"/>
          <w:lang w:val="pl-PL"/>
        </w:rPr>
        <w:t>Oś p</w:t>
      </w:r>
      <w:r w:rsidRPr="00AB265E">
        <w:rPr>
          <w:rFonts w:ascii="Tahoma" w:hAnsi="Tahoma" w:cs="Tahoma"/>
          <w:sz w:val="20"/>
          <w:szCs w:val="20"/>
          <w:u w:val="single"/>
          <w:lang w:val="pl-PL"/>
        </w:rPr>
        <w:t>riorytetowa</w:t>
      </w:r>
      <w:r>
        <w:rPr>
          <w:rFonts w:ascii="Tahoma" w:hAnsi="Tahoma" w:cs="Tahoma"/>
          <w:sz w:val="20"/>
          <w:szCs w:val="20"/>
          <w:u w:val="single"/>
          <w:lang w:val="pl-PL"/>
        </w:rPr>
        <w:t xml:space="preserve"> 4. Dziedzictwo naturalne i kulturowe</w:t>
      </w:r>
    </w:p>
    <w:p w:rsidR="00D84544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>
        <w:rPr>
          <w:rFonts w:ascii="Tahoma" w:hAnsi="Tahoma" w:cs="Tahoma"/>
          <w:sz w:val="20"/>
          <w:szCs w:val="20"/>
          <w:lang w:val="pl-PL"/>
        </w:rPr>
        <w:t>Celem interwencji realizowanej w ramach czwartej osi priorytetowej „Dziedzictwo naturalne i kulturowe” jest promowania dostosowania do zmian klimatu, zapobiegania ryzyku i zarządzania ryzykiem oraz ochrony środowiska naturalnego i wspierania efektywności wykorzystania zasobów. Cel ten ma zostać osiągnięty dzięki skoncentrowaniu interwencji w ramach celów tematycznych które dotyczą projektów środowiskowych, infrastrukturalnych oraz w zakresie zmian klimatu oraz adaptacji do tych zmian. Na realizację czwartej osi priorytetowej alokowano ponad 169 mln EUR. Na koniec 2018r. zakontraktowano 58,7% środków.</w:t>
      </w:r>
    </w:p>
    <w:p w:rsidR="00D84544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>
        <w:rPr>
          <w:rFonts w:ascii="Tahoma" w:hAnsi="Tahoma" w:cs="Tahoma"/>
          <w:sz w:val="20"/>
          <w:szCs w:val="20"/>
          <w:lang w:val="pl-PL"/>
        </w:rPr>
        <w:t>W ramach wykonania przewidziano 4 wskaźniki:</w:t>
      </w:r>
      <w:r>
        <w:rPr>
          <w:lang w:val="pl-PL"/>
        </w:rPr>
        <w:t xml:space="preserve"> </w:t>
      </w:r>
      <w:r>
        <w:rPr>
          <w:rFonts w:ascii="Tahoma" w:hAnsi="Tahoma" w:cs="Tahoma"/>
          <w:i/>
          <w:sz w:val="20"/>
          <w:szCs w:val="20"/>
          <w:lang w:val="pl-PL"/>
        </w:rPr>
        <w:t xml:space="preserve">Liczba jednostek służb ratowniczych doposażonych w sprzęt do prowadzenia akcji ratowniczych i usuwania skutków katastrof; Długość wybudowanej kanalizacji sanitarnej; Liczba zabytków nieruchomych i instytucji kultury objętych wsparciem </w:t>
      </w:r>
      <w:r>
        <w:rPr>
          <w:rFonts w:ascii="Tahoma" w:hAnsi="Tahoma" w:cs="Tahoma"/>
          <w:sz w:val="20"/>
          <w:szCs w:val="20"/>
          <w:lang w:val="pl-PL"/>
        </w:rPr>
        <w:t xml:space="preserve">oraz </w:t>
      </w:r>
      <w:r>
        <w:rPr>
          <w:rFonts w:ascii="Tahoma" w:hAnsi="Tahoma" w:cs="Tahoma"/>
          <w:i/>
          <w:sz w:val="20"/>
          <w:szCs w:val="20"/>
          <w:lang w:val="pl-PL"/>
        </w:rPr>
        <w:t>Całkowita kwota certyfikowanych wydatków kwalifikowalnych.</w:t>
      </w:r>
      <w:r>
        <w:rPr>
          <w:rFonts w:ascii="Tahoma" w:hAnsi="Tahoma" w:cs="Tahoma"/>
          <w:sz w:val="20"/>
          <w:szCs w:val="20"/>
          <w:lang w:val="pl-PL"/>
        </w:rPr>
        <w:t xml:space="preserve"> Na koniec 2018 r. wskaźnik finansowy osiągnął 85%</w:t>
      </w:r>
      <w:r>
        <w:rPr>
          <w:rFonts w:ascii="Tahoma" w:hAnsi="Tahoma" w:cs="Tahoma"/>
          <w:sz w:val="20"/>
          <w:szCs w:val="20"/>
          <w:vertAlign w:val="superscript"/>
          <w:lang w:val="pl-PL"/>
        </w:rPr>
        <w:footnoteReference w:customMarkFollows="1" w:id="3"/>
        <w:t>[1]</w:t>
      </w:r>
      <w:r>
        <w:rPr>
          <w:rFonts w:ascii="Tahoma" w:hAnsi="Tahoma" w:cs="Tahoma"/>
          <w:sz w:val="20"/>
          <w:szCs w:val="20"/>
          <w:lang w:val="pl-PL"/>
        </w:rPr>
        <w:t xml:space="preserve"> zakładanej wartości pośredniej, a poziom realizacji pozostałych wskaźników wyniósł ponad 100%, tym samym cel pośredni ram wykonania został osiągnięty i osi 4 przysługuje rezerwa wykonania. </w:t>
      </w:r>
    </w:p>
    <w:p w:rsidR="00D84544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>
        <w:rPr>
          <w:rFonts w:ascii="Tahoma" w:hAnsi="Tahoma" w:cs="Tahoma"/>
          <w:sz w:val="20"/>
          <w:szCs w:val="20"/>
          <w:lang w:val="pl-PL"/>
        </w:rPr>
        <w:t>Łączna kwota środków UE, która pozostanie w osi 4 do zakontraktowania po 2019 r., wynosi ok. 78 mln zł (w tym 42,8 mln zł z rezerwy wykonania). W Działaniu 4.4 zidentyfikowano potencjał absorpcji dodatkowych środków na poziomie przynajmniej 50 mln zł (lista rezerwowa w Działaniu 4.4), co oznacza, że 65% środków może zostać alokowanych na 4. oś priorytetową, pozostałe środki można wykorzystać na potencjalne nowe nabory w Działaniu 4.1 oraz 4.2, a niewykorzystaną kwotę realokować na Działanie 6.5. Według przeprowadzonych analiz i oszacowań, niezależnie od tego, czy nastąpi realokacja środków UE pomiędzy poszczególnymi działaniami osi 4, czy też zostaną one zakontraktowane zgodnie z obecnym rozkładem alokacji, cele końcowe wyznaczone dla wskaźników ram wykonania zostaną osiągnięte.</w:t>
      </w:r>
    </w:p>
    <w:p w:rsidR="00D84544" w:rsidRPr="00EA3FF7" w:rsidRDefault="00D84544" w:rsidP="00D84544">
      <w:pPr>
        <w:spacing w:before="240" w:after="120" w:line="288" w:lineRule="auto"/>
        <w:jc w:val="both"/>
        <w:rPr>
          <w:rFonts w:ascii="Tahoma" w:hAnsi="Tahoma" w:cs="Tahoma"/>
          <w:sz w:val="20"/>
          <w:szCs w:val="20"/>
          <w:u w:val="single"/>
          <w:lang w:val="pl-PL"/>
        </w:rPr>
      </w:pPr>
      <w:r w:rsidRPr="00EA3FF7">
        <w:rPr>
          <w:rFonts w:ascii="Tahoma" w:hAnsi="Tahoma" w:cs="Tahoma"/>
          <w:sz w:val="20"/>
          <w:szCs w:val="20"/>
          <w:u w:val="single"/>
          <w:lang w:val="pl-PL"/>
        </w:rPr>
        <w:t>Oś priorytetowa 5. Nowoczesna komunikacja</w:t>
      </w:r>
    </w:p>
    <w:p w:rsidR="00D84544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>
        <w:rPr>
          <w:rFonts w:ascii="Tahoma" w:hAnsi="Tahoma" w:cs="Tahoma"/>
          <w:sz w:val="20"/>
          <w:szCs w:val="20"/>
          <w:lang w:val="pl-PL"/>
        </w:rPr>
        <w:t xml:space="preserve">W osi priorytetowej 5 zaprojektowano interwencję w systemie transportowym, składającą się z inwestycji na drogach wojewódzkich i w infrastrukturę linii kolejowych. Jej celem jest poprawa funkcjonowania systemu transportowego, której efekty mają powodować wzrost dostępności transportowej regionu. Całkowita alokacja z rezerwą wykonania (wkład ze środków UE) na działania osi priorytetowej 5 wynosi 129,5 mln EUR. Na koniec 2018 roku zakontraktowano ok. 79,8% alokacji. </w:t>
      </w:r>
    </w:p>
    <w:p w:rsidR="00D84544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>
        <w:rPr>
          <w:rFonts w:ascii="Tahoma" w:hAnsi="Tahoma" w:cs="Tahoma"/>
          <w:sz w:val="20"/>
          <w:szCs w:val="20"/>
          <w:lang w:val="pl-PL"/>
        </w:rPr>
        <w:t xml:space="preserve">Postęp wdrażania w działaniach osi priorytetowej 5 należy ocenić za satysfakcjonujący. Zrealizowano zarówno cel pośredni dla wskaźnika </w:t>
      </w:r>
      <w:r>
        <w:rPr>
          <w:rFonts w:ascii="Tahoma" w:hAnsi="Tahoma" w:cs="Tahoma"/>
          <w:i/>
          <w:sz w:val="20"/>
          <w:szCs w:val="20"/>
          <w:lang w:val="pl-PL"/>
        </w:rPr>
        <w:t>Całkowitej kwoty certyfikowanych wydatków kwalifikowanych</w:t>
      </w:r>
      <w:r>
        <w:rPr>
          <w:rFonts w:ascii="Tahoma" w:hAnsi="Tahoma" w:cs="Tahoma"/>
          <w:sz w:val="20"/>
          <w:szCs w:val="20"/>
          <w:lang w:val="pl-PL"/>
        </w:rPr>
        <w:t xml:space="preserve">, jak i wskaźnika </w:t>
      </w:r>
      <w:r>
        <w:rPr>
          <w:rFonts w:ascii="Tahoma" w:hAnsi="Tahoma" w:cs="Tahoma"/>
          <w:i/>
          <w:sz w:val="20"/>
          <w:szCs w:val="20"/>
          <w:lang w:val="pl-PL"/>
        </w:rPr>
        <w:t>Całkowitej długości nowych, zmodernizowanych lub przebudowanych dróg</w:t>
      </w:r>
      <w:r>
        <w:rPr>
          <w:rFonts w:ascii="Tahoma" w:hAnsi="Tahoma" w:cs="Tahoma"/>
          <w:sz w:val="20"/>
          <w:szCs w:val="20"/>
          <w:lang w:val="pl-PL"/>
        </w:rPr>
        <w:t>.</w:t>
      </w:r>
    </w:p>
    <w:p w:rsidR="00D84544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>
        <w:rPr>
          <w:rFonts w:ascii="Tahoma" w:hAnsi="Tahoma" w:cs="Tahoma"/>
          <w:sz w:val="20"/>
          <w:szCs w:val="20"/>
          <w:lang w:val="pl-PL"/>
        </w:rPr>
        <w:t xml:space="preserve">Żaden z realizowanych w osi priorytetowej 5 wskaźników nie jest zagrożony nieosiągnięciem. Zgodnie z oszacowaniami wskaźniki ram wykonania zostaną osiągnięte na poziomie bliskim założeniom dla celu końcowego. Zdiagnozowano jednak trudności związanych z realizacją projektów, które związane są ze </w:t>
      </w:r>
      <w:r>
        <w:rPr>
          <w:rFonts w:ascii="Tahoma" w:hAnsi="Tahoma" w:cs="Tahoma"/>
          <w:sz w:val="20"/>
          <w:szCs w:val="20"/>
          <w:lang w:val="pl-PL"/>
        </w:rPr>
        <w:lastRenderedPageBreak/>
        <w:t>wzrostem kosztów wykonania prac inwestycyjnych, a co za tym idzie problemów z wyłonieniem wykonawców.</w:t>
      </w:r>
    </w:p>
    <w:p w:rsidR="00D84544" w:rsidRPr="00EA3FF7" w:rsidRDefault="00D84544" w:rsidP="00D84544">
      <w:pPr>
        <w:spacing w:before="240" w:after="120" w:line="288" w:lineRule="auto"/>
        <w:jc w:val="both"/>
        <w:rPr>
          <w:rFonts w:ascii="Tahoma" w:hAnsi="Tahoma" w:cs="Tahoma"/>
          <w:sz w:val="20"/>
          <w:szCs w:val="20"/>
          <w:u w:val="single"/>
          <w:lang w:val="pl-PL"/>
        </w:rPr>
      </w:pPr>
      <w:r w:rsidRPr="00EA3FF7">
        <w:rPr>
          <w:rFonts w:ascii="Tahoma" w:hAnsi="Tahoma" w:cs="Tahoma"/>
          <w:sz w:val="20"/>
          <w:szCs w:val="20"/>
          <w:u w:val="single"/>
          <w:lang w:val="pl-PL"/>
        </w:rPr>
        <w:t>Oś priorytetowa 6</w:t>
      </w:r>
      <w:r>
        <w:rPr>
          <w:rFonts w:ascii="Tahoma" w:hAnsi="Tahoma" w:cs="Tahoma"/>
          <w:sz w:val="20"/>
          <w:szCs w:val="20"/>
          <w:u w:val="single"/>
          <w:lang w:val="pl-PL"/>
        </w:rPr>
        <w:t>. Rozwój miast</w:t>
      </w:r>
    </w:p>
    <w:p w:rsidR="00D84544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>
        <w:rPr>
          <w:rFonts w:ascii="Tahoma" w:hAnsi="Tahoma" w:cs="Tahoma"/>
          <w:sz w:val="20"/>
          <w:szCs w:val="20"/>
          <w:lang w:val="pl-PL"/>
        </w:rPr>
        <w:t>Celem głównym osi priorytetowej 6 Rozwój Miast jest stworzenie warunków do zrównoważonego rozwoju miasta Kielce i jego obszaru funkcjonalnego oraz poprawa jakości życia mieszkańców z uwzględnieniem zasad ochrony środowiska. Oś priorytetowa 6 wychodzi naprzeciw zdiagnozowanym problemom środowiskowym, społecznym i infrastrukturalnym, które ograniczają rozwój Kielc i innych ośrodków miejskich województwa świętokrzyskiego. Zaplanowane, że cel ten będzie osiągnięty przez realizacje sześciu priorytetów inwestycyjnych: 4c, 4e, 6d, 7b, 9b i 10a. Z wyjątkiem działania 6.5 Rewitalizacja obszarów miejskich i wiejskich pozostałe działania w ramach osi (6.1, 6.2, 6.3, 6.4. i 6.6) realizowanych są w formule instrumentu ZIT. Z alokacji przeznaczonej na wdrażanie osi priorytetowej 6 wynoszącej 118,6 mln EUR zakontraktowano już 75,3% dostępnych środków.</w:t>
      </w:r>
    </w:p>
    <w:p w:rsidR="00D84544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>
        <w:rPr>
          <w:rFonts w:ascii="Tahoma" w:hAnsi="Tahoma" w:cs="Tahoma"/>
          <w:sz w:val="20"/>
          <w:szCs w:val="20"/>
          <w:lang w:val="pl-PL"/>
        </w:rPr>
        <w:t>W osi priorytetowej 6 występują problemy na etapie realizacji, które związane były ze wzrastającymi kosztami prac budowlanych, kwestiami własności gruntów i przejmowania nieruchomości pod budowę czy też wymogami prawnymi związanymi z programami rewitalizacji. Na obecnym etapie wśród działań realizowanych przez ZIT KOF nie występuje poważne zagrożenia realizacji. W przypadku działania 6.5 postęp w realizacji nie jest satysfakcjonujący z uwagi na wspomniane już problemy z wymogami prawnymi. Nie zdiagnozowano jednak zagrożenia dla realizacji wskaźników ram wykonania osi priorytetowej 6.</w:t>
      </w:r>
    </w:p>
    <w:p w:rsidR="00D84544" w:rsidRPr="00EA3FF7" w:rsidRDefault="00D84544" w:rsidP="00D84544">
      <w:pPr>
        <w:spacing w:before="240" w:after="120" w:line="288" w:lineRule="auto"/>
        <w:jc w:val="both"/>
        <w:rPr>
          <w:rFonts w:ascii="Tahoma" w:hAnsi="Tahoma" w:cs="Tahoma"/>
          <w:sz w:val="20"/>
          <w:szCs w:val="20"/>
          <w:u w:val="single"/>
          <w:lang w:val="pl-PL"/>
        </w:rPr>
      </w:pPr>
      <w:r w:rsidRPr="00EA3FF7">
        <w:rPr>
          <w:rFonts w:ascii="Tahoma" w:hAnsi="Tahoma" w:cs="Tahoma"/>
          <w:sz w:val="20"/>
          <w:szCs w:val="20"/>
          <w:u w:val="single"/>
          <w:lang w:val="pl-PL"/>
        </w:rPr>
        <w:t>Oś priorytetowa 7.</w:t>
      </w:r>
      <w:r>
        <w:rPr>
          <w:rFonts w:ascii="Tahoma" w:hAnsi="Tahoma" w:cs="Tahoma"/>
          <w:sz w:val="20"/>
          <w:szCs w:val="20"/>
          <w:u w:val="single"/>
          <w:lang w:val="pl-PL"/>
        </w:rPr>
        <w:t xml:space="preserve"> Sprawne usługi publiczne</w:t>
      </w:r>
    </w:p>
    <w:p w:rsidR="00D84544" w:rsidRPr="00305749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>
        <w:rPr>
          <w:rFonts w:ascii="Tahoma" w:hAnsi="Tahoma" w:cs="Tahoma"/>
          <w:sz w:val="20"/>
          <w:szCs w:val="20"/>
          <w:lang w:val="pl-PL"/>
        </w:rPr>
        <w:t xml:space="preserve">Celem osi 7. Jest wsparcie i usprawnienie procesu dostarczania usług publicznych. Oś 7. </w:t>
      </w:r>
      <w:r w:rsidRPr="00305749">
        <w:rPr>
          <w:rFonts w:ascii="Tahoma" w:hAnsi="Tahoma" w:cs="Tahoma"/>
          <w:sz w:val="20"/>
          <w:szCs w:val="20"/>
          <w:lang w:val="pl-PL"/>
        </w:rPr>
        <w:t>przewiduje realizację działań mających na celu wzmocnienie zastosowań TIK dla e-administracji, e-uczenia się, e-włączenia społecznego, e-kultury</w:t>
      </w:r>
      <w:r>
        <w:rPr>
          <w:rFonts w:ascii="Tahoma" w:hAnsi="Tahoma" w:cs="Tahoma"/>
          <w:sz w:val="20"/>
          <w:szCs w:val="20"/>
          <w:lang w:val="pl-PL"/>
        </w:rPr>
        <w:t xml:space="preserve"> i </w:t>
      </w:r>
      <w:r w:rsidRPr="00305749">
        <w:rPr>
          <w:rFonts w:ascii="Tahoma" w:hAnsi="Tahoma" w:cs="Tahoma"/>
          <w:sz w:val="20"/>
          <w:szCs w:val="20"/>
          <w:lang w:val="pl-PL"/>
        </w:rPr>
        <w:t>e-zdrowia; rozwój potencjałów endogenicznych terenów ze specyficznymi potrzebami</w:t>
      </w:r>
      <w:r>
        <w:rPr>
          <w:rFonts w:ascii="Tahoma" w:hAnsi="Tahoma" w:cs="Tahoma"/>
          <w:sz w:val="20"/>
          <w:szCs w:val="20"/>
          <w:lang w:val="pl-PL"/>
        </w:rPr>
        <w:t>, z </w:t>
      </w:r>
      <w:r w:rsidRPr="00305749">
        <w:rPr>
          <w:rFonts w:ascii="Tahoma" w:hAnsi="Tahoma" w:cs="Tahoma"/>
          <w:sz w:val="20"/>
          <w:szCs w:val="20"/>
          <w:lang w:val="pl-PL"/>
        </w:rPr>
        <w:t xml:space="preserve">nadaniem im nowych funkcji </w:t>
      </w:r>
      <w:proofErr w:type="spellStart"/>
      <w:r w:rsidRPr="00305749">
        <w:rPr>
          <w:rFonts w:ascii="Tahoma" w:hAnsi="Tahoma" w:cs="Tahoma"/>
          <w:sz w:val="20"/>
          <w:szCs w:val="20"/>
          <w:lang w:val="pl-PL"/>
        </w:rPr>
        <w:t>społeczno</w:t>
      </w:r>
      <w:proofErr w:type="spellEnd"/>
      <w:r w:rsidRPr="00305749">
        <w:rPr>
          <w:rFonts w:ascii="Tahoma" w:hAnsi="Tahoma" w:cs="Tahoma"/>
          <w:sz w:val="20"/>
          <w:szCs w:val="20"/>
          <w:lang w:val="pl-PL"/>
        </w:rPr>
        <w:t xml:space="preserve"> </w:t>
      </w:r>
      <w:r>
        <w:rPr>
          <w:rFonts w:ascii="Tahoma" w:hAnsi="Tahoma" w:cs="Tahoma"/>
          <w:sz w:val="20"/>
          <w:szCs w:val="20"/>
          <w:lang w:val="pl-PL"/>
        </w:rPr>
        <w:t>–</w:t>
      </w:r>
      <w:r w:rsidRPr="00305749">
        <w:rPr>
          <w:rFonts w:ascii="Tahoma" w:hAnsi="Tahoma" w:cs="Tahoma"/>
          <w:sz w:val="20"/>
          <w:szCs w:val="20"/>
          <w:lang w:val="pl-PL"/>
        </w:rPr>
        <w:t xml:space="preserve"> gospodarczych</w:t>
      </w:r>
      <w:r>
        <w:rPr>
          <w:rFonts w:ascii="Tahoma" w:hAnsi="Tahoma" w:cs="Tahoma"/>
          <w:sz w:val="20"/>
          <w:szCs w:val="20"/>
          <w:lang w:val="pl-PL"/>
        </w:rPr>
        <w:t>, a </w:t>
      </w:r>
      <w:r w:rsidRPr="00305749">
        <w:rPr>
          <w:rFonts w:ascii="Tahoma" w:hAnsi="Tahoma" w:cs="Tahoma"/>
          <w:sz w:val="20"/>
          <w:szCs w:val="20"/>
          <w:lang w:val="pl-PL"/>
        </w:rPr>
        <w:t>także rozwój infrastruktury zdrowotnej oraz rozwój infrastruktury edukacyjnej</w:t>
      </w:r>
      <w:r>
        <w:rPr>
          <w:rFonts w:ascii="Tahoma" w:hAnsi="Tahoma" w:cs="Tahoma"/>
          <w:sz w:val="20"/>
          <w:szCs w:val="20"/>
          <w:lang w:val="pl-PL"/>
        </w:rPr>
        <w:t xml:space="preserve"> i </w:t>
      </w:r>
      <w:r w:rsidRPr="00305749">
        <w:rPr>
          <w:rFonts w:ascii="Tahoma" w:hAnsi="Tahoma" w:cs="Tahoma"/>
          <w:sz w:val="20"/>
          <w:szCs w:val="20"/>
          <w:lang w:val="pl-PL"/>
        </w:rPr>
        <w:t>szkoleniowej.</w:t>
      </w:r>
    </w:p>
    <w:p w:rsidR="00D84544" w:rsidRPr="00BE7A14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 w:rsidRPr="00BE7A14">
        <w:rPr>
          <w:rFonts w:ascii="Tahoma" w:hAnsi="Tahoma" w:cs="Tahoma"/>
          <w:sz w:val="20"/>
          <w:szCs w:val="20"/>
          <w:lang w:val="pl-PL"/>
        </w:rPr>
        <w:t>Całkowita alokacja</w:t>
      </w:r>
      <w:r>
        <w:rPr>
          <w:rFonts w:ascii="Tahoma" w:hAnsi="Tahoma" w:cs="Tahoma"/>
          <w:sz w:val="20"/>
          <w:szCs w:val="20"/>
          <w:lang w:val="pl-PL"/>
        </w:rPr>
        <w:t xml:space="preserve"> z </w:t>
      </w:r>
      <w:r w:rsidRPr="00BE7A14">
        <w:rPr>
          <w:rFonts w:ascii="Tahoma" w:hAnsi="Tahoma" w:cs="Tahoma"/>
          <w:sz w:val="20"/>
          <w:szCs w:val="20"/>
          <w:lang w:val="pl-PL"/>
        </w:rPr>
        <w:t>rezerwą wykonania (wkład ze środków UE) osi wynosi 131,3 mln </w:t>
      </w:r>
      <w:r>
        <w:rPr>
          <w:rFonts w:ascii="Tahoma" w:hAnsi="Tahoma" w:cs="Tahoma"/>
          <w:sz w:val="20"/>
          <w:szCs w:val="20"/>
          <w:lang w:val="pl-PL"/>
        </w:rPr>
        <w:t>EUR</w:t>
      </w:r>
      <w:r w:rsidRPr="00BE7A14">
        <w:rPr>
          <w:rFonts w:ascii="Tahoma" w:hAnsi="Tahoma" w:cs="Tahoma"/>
          <w:sz w:val="20"/>
          <w:szCs w:val="20"/>
          <w:lang w:val="pl-PL"/>
        </w:rPr>
        <w:t>. Na koniec 2018 roku zakontraktowano 82% alokacji.</w:t>
      </w:r>
    </w:p>
    <w:p w:rsidR="00D84544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 w:rsidRPr="00D70E70">
        <w:rPr>
          <w:rFonts w:ascii="Tahoma" w:hAnsi="Tahoma" w:cs="Tahoma"/>
          <w:sz w:val="20"/>
          <w:szCs w:val="20"/>
          <w:lang w:val="pl-PL"/>
        </w:rPr>
        <w:t>W osi 7. nie jest zagrożone osiągnięcie wskaźników docelowych</w:t>
      </w:r>
      <w:r>
        <w:rPr>
          <w:rFonts w:ascii="Tahoma" w:hAnsi="Tahoma" w:cs="Tahoma"/>
          <w:sz w:val="20"/>
          <w:szCs w:val="20"/>
          <w:lang w:val="pl-PL"/>
        </w:rPr>
        <w:t xml:space="preserve"> ram wykonania i wskaźników programowych produktu. We wszystkich działaniach osi 7. obserwuje się duży popyt na wsparcie, co przejawia się powstawaniem list rezerwowych projektów w naborach. Prognozuje się, że wskaźniki programowe produktu zostaną przekroczone w 2023 r. kilkunastokrotnie, niektóre z nich już po zakończeniu naborów w 2019 r </w:t>
      </w:r>
    </w:p>
    <w:p w:rsidR="00D84544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 w:rsidRPr="00D70E70">
        <w:rPr>
          <w:rFonts w:ascii="Tahoma" w:hAnsi="Tahoma" w:cs="Tahoma"/>
          <w:sz w:val="20"/>
          <w:szCs w:val="20"/>
          <w:lang w:val="pl-PL"/>
        </w:rPr>
        <w:t xml:space="preserve">Na podstawie przeprowadzonej analizy zasadna jest rekomendacja zwiększenia alokacji na Działanie 7.2 </w:t>
      </w:r>
      <w:r>
        <w:rPr>
          <w:rFonts w:ascii="Tahoma" w:hAnsi="Tahoma" w:cs="Tahoma"/>
          <w:sz w:val="20"/>
          <w:szCs w:val="20"/>
          <w:lang w:val="pl-PL"/>
        </w:rPr>
        <w:t>(PI 8b) z </w:t>
      </w:r>
      <w:r w:rsidRPr="00D70E70">
        <w:rPr>
          <w:rFonts w:ascii="Tahoma" w:hAnsi="Tahoma" w:cs="Tahoma"/>
          <w:sz w:val="20"/>
          <w:szCs w:val="20"/>
          <w:lang w:val="pl-PL"/>
        </w:rPr>
        <w:t>uwagi na przekroczenie alokacji</w:t>
      </w:r>
      <w:r>
        <w:rPr>
          <w:rFonts w:ascii="Tahoma" w:hAnsi="Tahoma" w:cs="Tahoma"/>
          <w:sz w:val="20"/>
          <w:szCs w:val="20"/>
          <w:lang w:val="pl-PL"/>
        </w:rPr>
        <w:t xml:space="preserve"> i </w:t>
      </w:r>
      <w:proofErr w:type="spellStart"/>
      <w:r w:rsidRPr="00D70E70">
        <w:rPr>
          <w:rFonts w:ascii="Tahoma" w:hAnsi="Tahoma" w:cs="Tahoma"/>
          <w:sz w:val="20"/>
          <w:szCs w:val="20"/>
          <w:lang w:val="pl-PL"/>
        </w:rPr>
        <w:t>nadkontraktację</w:t>
      </w:r>
      <w:proofErr w:type="spellEnd"/>
      <w:r w:rsidRPr="00D70E70">
        <w:rPr>
          <w:rFonts w:ascii="Tahoma" w:hAnsi="Tahoma" w:cs="Tahoma"/>
          <w:sz w:val="20"/>
          <w:szCs w:val="20"/>
          <w:lang w:val="pl-PL"/>
        </w:rPr>
        <w:t xml:space="preserve"> środków. Warto zwrócić uwagę na synergi</w:t>
      </w:r>
      <w:r>
        <w:rPr>
          <w:rFonts w:ascii="Tahoma" w:hAnsi="Tahoma" w:cs="Tahoma"/>
          <w:sz w:val="20"/>
          <w:szCs w:val="20"/>
          <w:lang w:val="pl-PL"/>
        </w:rPr>
        <w:t>ę</w:t>
      </w:r>
      <w:r w:rsidRPr="00D70E70">
        <w:rPr>
          <w:rFonts w:ascii="Tahoma" w:hAnsi="Tahoma" w:cs="Tahoma"/>
          <w:sz w:val="20"/>
          <w:szCs w:val="20"/>
          <w:lang w:val="pl-PL"/>
        </w:rPr>
        <w:t xml:space="preserve"> </w:t>
      </w:r>
      <w:r>
        <w:rPr>
          <w:rFonts w:ascii="Tahoma" w:hAnsi="Tahoma" w:cs="Tahoma"/>
          <w:sz w:val="20"/>
          <w:szCs w:val="20"/>
          <w:lang w:val="pl-PL"/>
        </w:rPr>
        <w:t>projektów finansowanych z 7.2 z </w:t>
      </w:r>
      <w:r w:rsidRPr="00D70E70">
        <w:rPr>
          <w:rFonts w:ascii="Tahoma" w:hAnsi="Tahoma" w:cs="Tahoma"/>
          <w:sz w:val="20"/>
          <w:szCs w:val="20"/>
          <w:lang w:val="pl-PL"/>
        </w:rPr>
        <w:t>projektami</w:t>
      </w:r>
      <w:r>
        <w:rPr>
          <w:rFonts w:ascii="Tahoma" w:hAnsi="Tahoma" w:cs="Tahoma"/>
          <w:sz w:val="20"/>
          <w:szCs w:val="20"/>
          <w:lang w:val="pl-PL"/>
        </w:rPr>
        <w:t xml:space="preserve"> z </w:t>
      </w:r>
      <w:r w:rsidRPr="00D70E70">
        <w:rPr>
          <w:rFonts w:ascii="Tahoma" w:hAnsi="Tahoma" w:cs="Tahoma"/>
          <w:sz w:val="20"/>
          <w:szCs w:val="20"/>
          <w:lang w:val="pl-PL"/>
        </w:rPr>
        <w:t>zakresu rewitalizacji, realizowanymi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D70E70">
        <w:rPr>
          <w:rFonts w:ascii="Tahoma" w:hAnsi="Tahoma" w:cs="Tahoma"/>
          <w:sz w:val="20"/>
          <w:szCs w:val="20"/>
          <w:lang w:val="pl-PL"/>
        </w:rPr>
        <w:t xml:space="preserve">ramach działania 6.5. Wielokrotnie projekty te miały zbliżony charakter lub ich efekty mogły się wzmacniać. </w:t>
      </w:r>
    </w:p>
    <w:p w:rsidR="00D84544" w:rsidRPr="00E97B4C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 w:rsidRPr="00E97B4C">
        <w:rPr>
          <w:rFonts w:ascii="Tahoma" w:hAnsi="Tahoma" w:cs="Tahoma"/>
          <w:sz w:val="20"/>
          <w:szCs w:val="20"/>
          <w:lang w:val="pl-PL"/>
        </w:rPr>
        <w:t xml:space="preserve">W działaniu 7.4 </w:t>
      </w:r>
      <w:r>
        <w:rPr>
          <w:rFonts w:ascii="Tahoma" w:hAnsi="Tahoma" w:cs="Tahoma"/>
          <w:sz w:val="20"/>
          <w:szCs w:val="20"/>
          <w:lang w:val="pl-PL"/>
        </w:rPr>
        <w:t>(PI10a)</w:t>
      </w:r>
      <w:r w:rsidRPr="00E97B4C">
        <w:rPr>
          <w:rFonts w:ascii="Tahoma" w:hAnsi="Tahoma" w:cs="Tahoma"/>
          <w:sz w:val="20"/>
          <w:szCs w:val="20"/>
          <w:lang w:val="pl-PL"/>
        </w:rPr>
        <w:t xml:space="preserve"> </w:t>
      </w:r>
      <w:r>
        <w:rPr>
          <w:rFonts w:ascii="Tahoma" w:hAnsi="Tahoma" w:cs="Tahoma"/>
          <w:sz w:val="20"/>
          <w:szCs w:val="20"/>
          <w:lang w:val="pl-PL"/>
        </w:rPr>
        <w:t>w</w:t>
      </w:r>
      <w:r w:rsidRPr="00E97B4C">
        <w:rPr>
          <w:rFonts w:ascii="Tahoma" w:hAnsi="Tahoma" w:cs="Tahoma"/>
          <w:sz w:val="20"/>
          <w:szCs w:val="20"/>
          <w:lang w:val="pl-PL"/>
        </w:rPr>
        <w:t>ysoki popyt na środki</w:t>
      </w:r>
      <w:r>
        <w:rPr>
          <w:rFonts w:ascii="Tahoma" w:hAnsi="Tahoma" w:cs="Tahoma"/>
          <w:sz w:val="20"/>
          <w:szCs w:val="20"/>
          <w:lang w:val="pl-PL"/>
        </w:rPr>
        <w:t xml:space="preserve"> i </w:t>
      </w:r>
      <w:proofErr w:type="spellStart"/>
      <w:r w:rsidRPr="00E97B4C">
        <w:rPr>
          <w:rFonts w:ascii="Tahoma" w:hAnsi="Tahoma" w:cs="Tahoma"/>
          <w:sz w:val="20"/>
          <w:szCs w:val="20"/>
          <w:lang w:val="pl-PL"/>
        </w:rPr>
        <w:t>nadrealizacja</w:t>
      </w:r>
      <w:proofErr w:type="spellEnd"/>
      <w:r w:rsidRPr="00E97B4C">
        <w:rPr>
          <w:rFonts w:ascii="Tahoma" w:hAnsi="Tahoma" w:cs="Tahoma"/>
          <w:sz w:val="20"/>
          <w:szCs w:val="20"/>
          <w:lang w:val="pl-PL"/>
        </w:rPr>
        <w:t xml:space="preserve"> zakładanych wskaźników pozwala wnioskować</w:t>
      </w:r>
      <w:r>
        <w:rPr>
          <w:rFonts w:ascii="Tahoma" w:hAnsi="Tahoma" w:cs="Tahoma"/>
          <w:sz w:val="20"/>
          <w:szCs w:val="20"/>
          <w:lang w:val="pl-PL"/>
        </w:rPr>
        <w:t xml:space="preserve"> o </w:t>
      </w:r>
      <w:r w:rsidRPr="00E97B4C">
        <w:rPr>
          <w:rFonts w:ascii="Tahoma" w:hAnsi="Tahoma" w:cs="Tahoma"/>
          <w:sz w:val="20"/>
          <w:szCs w:val="20"/>
          <w:lang w:val="pl-PL"/>
        </w:rPr>
        <w:t>wysokich potrzebach wnioskodawców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E97B4C">
        <w:rPr>
          <w:rFonts w:ascii="Tahoma" w:hAnsi="Tahoma" w:cs="Tahoma"/>
          <w:sz w:val="20"/>
          <w:szCs w:val="20"/>
          <w:lang w:val="pl-PL"/>
        </w:rPr>
        <w:t>przedmiotowym zakresie wsparcia. Szczególnie wysokie zapotrzebowanie na projekty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E97B4C">
        <w:rPr>
          <w:rFonts w:ascii="Tahoma" w:hAnsi="Tahoma" w:cs="Tahoma"/>
          <w:sz w:val="20"/>
          <w:szCs w:val="20"/>
          <w:lang w:val="pl-PL"/>
        </w:rPr>
        <w:t>zakresie modernizacji</w:t>
      </w:r>
      <w:r>
        <w:rPr>
          <w:rFonts w:ascii="Tahoma" w:hAnsi="Tahoma" w:cs="Tahoma"/>
          <w:sz w:val="20"/>
          <w:szCs w:val="20"/>
          <w:lang w:val="pl-PL"/>
        </w:rPr>
        <w:t xml:space="preserve"> i </w:t>
      </w:r>
      <w:r w:rsidRPr="00E97B4C">
        <w:rPr>
          <w:rFonts w:ascii="Tahoma" w:hAnsi="Tahoma" w:cs="Tahoma"/>
          <w:sz w:val="20"/>
          <w:szCs w:val="20"/>
          <w:lang w:val="pl-PL"/>
        </w:rPr>
        <w:t>wyposażenia zgłaszają szkoły podstawowe</w:t>
      </w:r>
      <w:r>
        <w:rPr>
          <w:rFonts w:ascii="Tahoma" w:hAnsi="Tahoma" w:cs="Tahoma"/>
          <w:sz w:val="20"/>
          <w:szCs w:val="20"/>
          <w:lang w:val="pl-PL"/>
        </w:rPr>
        <w:t xml:space="preserve"> z </w:t>
      </w:r>
      <w:r w:rsidRPr="00E97B4C">
        <w:rPr>
          <w:rFonts w:ascii="Tahoma" w:hAnsi="Tahoma" w:cs="Tahoma"/>
          <w:sz w:val="20"/>
          <w:szCs w:val="20"/>
          <w:lang w:val="pl-PL"/>
        </w:rPr>
        <w:t>obszarów wiejskich</w:t>
      </w:r>
      <w:r>
        <w:rPr>
          <w:rFonts w:ascii="Tahoma" w:hAnsi="Tahoma" w:cs="Tahoma"/>
          <w:sz w:val="20"/>
          <w:szCs w:val="20"/>
          <w:lang w:val="pl-PL"/>
        </w:rPr>
        <w:t xml:space="preserve"> i </w:t>
      </w:r>
      <w:r w:rsidRPr="00E97B4C">
        <w:rPr>
          <w:rFonts w:ascii="Tahoma" w:hAnsi="Tahoma" w:cs="Tahoma"/>
          <w:sz w:val="20"/>
          <w:szCs w:val="20"/>
          <w:lang w:val="pl-PL"/>
        </w:rPr>
        <w:t xml:space="preserve">średnich miast. </w:t>
      </w:r>
      <w:r>
        <w:rPr>
          <w:rFonts w:ascii="Tahoma" w:hAnsi="Tahoma" w:cs="Tahoma"/>
          <w:sz w:val="20"/>
          <w:szCs w:val="20"/>
          <w:lang w:val="pl-PL"/>
        </w:rPr>
        <w:t>Dostępna lista projektów zgłoszonych do dofinansowania w ostatnim naborze wniosków sugeruje, że potrzeby znacznie przewyższają dostępne środki. Zasadna jest więc realokacja środków z rezerwy wykonania na Działanie 7.4.</w:t>
      </w:r>
    </w:p>
    <w:p w:rsidR="00D84544" w:rsidRPr="00EA3FF7" w:rsidRDefault="00D84544" w:rsidP="00D84544">
      <w:pPr>
        <w:spacing w:before="240" w:after="120" w:line="288" w:lineRule="auto"/>
        <w:jc w:val="both"/>
        <w:rPr>
          <w:rFonts w:ascii="Tahoma" w:hAnsi="Tahoma" w:cs="Tahoma"/>
          <w:sz w:val="20"/>
          <w:szCs w:val="20"/>
          <w:u w:val="single"/>
          <w:lang w:val="pl-PL"/>
        </w:rPr>
      </w:pPr>
      <w:r w:rsidRPr="00EA3FF7">
        <w:rPr>
          <w:rFonts w:ascii="Tahoma" w:hAnsi="Tahoma" w:cs="Tahoma"/>
          <w:sz w:val="20"/>
          <w:szCs w:val="20"/>
          <w:u w:val="single"/>
          <w:lang w:val="pl-PL"/>
        </w:rPr>
        <w:lastRenderedPageBreak/>
        <w:t>Oś priorytetowa 8</w:t>
      </w:r>
      <w:r>
        <w:rPr>
          <w:rFonts w:ascii="Tahoma" w:hAnsi="Tahoma" w:cs="Tahoma"/>
          <w:sz w:val="20"/>
          <w:szCs w:val="20"/>
          <w:u w:val="single"/>
          <w:lang w:val="pl-PL"/>
        </w:rPr>
        <w:t>. Rozwój edukacji i aktywne społeczeństwo</w:t>
      </w:r>
    </w:p>
    <w:p w:rsidR="00D84544" w:rsidRDefault="00D84544" w:rsidP="00D84544">
      <w:pPr>
        <w:spacing w:after="120" w:line="288" w:lineRule="auto"/>
        <w:jc w:val="both"/>
        <w:rPr>
          <w:rFonts w:ascii="Tahoma" w:eastAsia="Calibri" w:hAnsi="Tahoma" w:cs="Tahoma"/>
          <w:sz w:val="20"/>
          <w:szCs w:val="20"/>
          <w:lang w:val="pl-PL"/>
        </w:rPr>
      </w:pPr>
      <w:r>
        <w:rPr>
          <w:rFonts w:ascii="Tahoma" w:eastAsia="Calibri" w:hAnsi="Tahoma" w:cs="Tahoma"/>
          <w:sz w:val="20"/>
          <w:szCs w:val="20"/>
          <w:lang w:val="pl-PL"/>
        </w:rPr>
        <w:t>Celem interwencji realizowanej w ramach ósmej osi priorytetowej „Rozwój edukacji i aktywne społeczeństwo” jest wzrost konkurencyjności gospodarki w oparciu o zwiększenie kompetencji kadr oraz bardziej efektywne wykorzystanie zasobów rynku pracy. Na realizację ósmej osi priorytetowej alokowano kwotę 109,2 mln EUR (468,1 mln zł). Na koniec 2018 roku zakontraktowano 51% alokacji.</w:t>
      </w:r>
    </w:p>
    <w:p w:rsidR="00D84544" w:rsidRDefault="00D84544" w:rsidP="00D84544">
      <w:pPr>
        <w:spacing w:after="120" w:line="288" w:lineRule="auto"/>
        <w:jc w:val="both"/>
        <w:rPr>
          <w:rFonts w:ascii="Tahoma" w:eastAsia="Calibri" w:hAnsi="Tahoma" w:cs="Tahoma"/>
          <w:sz w:val="20"/>
          <w:szCs w:val="20"/>
          <w:lang w:val="pl-PL"/>
        </w:rPr>
      </w:pPr>
      <w:r>
        <w:rPr>
          <w:rFonts w:ascii="Tahoma" w:eastAsia="Calibri" w:hAnsi="Tahoma" w:cs="Tahoma"/>
          <w:sz w:val="20"/>
          <w:szCs w:val="20"/>
          <w:lang w:val="pl-PL"/>
        </w:rPr>
        <w:t xml:space="preserve">W ramach wykonania przewidziano 4 wskaźniki: </w:t>
      </w:r>
      <w:r>
        <w:rPr>
          <w:rFonts w:ascii="Tahoma" w:eastAsia="Calibri" w:hAnsi="Tahoma" w:cs="Tahoma"/>
          <w:i/>
          <w:sz w:val="20"/>
          <w:szCs w:val="20"/>
          <w:lang w:val="pl-PL"/>
        </w:rPr>
        <w:t>Liczba uczniów objętych wsparciem w programie</w:t>
      </w:r>
      <w:r>
        <w:rPr>
          <w:rFonts w:ascii="Tahoma" w:eastAsia="Calibri" w:hAnsi="Tahoma" w:cs="Tahoma"/>
          <w:sz w:val="20"/>
          <w:szCs w:val="20"/>
          <w:lang w:val="pl-PL"/>
        </w:rPr>
        <w:t xml:space="preserve">, </w:t>
      </w:r>
      <w:r>
        <w:rPr>
          <w:rFonts w:ascii="Tahoma" w:eastAsia="Calibri" w:hAnsi="Tahoma" w:cs="Tahoma"/>
          <w:i/>
          <w:sz w:val="20"/>
          <w:szCs w:val="20"/>
          <w:lang w:val="pl-PL"/>
        </w:rPr>
        <w:t>Liczba dzieci objętych w ramach programu dodatkowymi zajęciami zwiększającymi ich szanse edukacyjne w edukacji przedszkolnej</w:t>
      </w:r>
      <w:r>
        <w:rPr>
          <w:rFonts w:ascii="Tahoma" w:eastAsia="Calibri" w:hAnsi="Tahoma" w:cs="Tahoma"/>
          <w:sz w:val="20"/>
          <w:szCs w:val="20"/>
          <w:lang w:val="pl-PL"/>
        </w:rPr>
        <w:t xml:space="preserve">, </w:t>
      </w:r>
      <w:r>
        <w:rPr>
          <w:rFonts w:ascii="Tahoma" w:eastAsia="Calibri" w:hAnsi="Tahoma" w:cs="Tahoma"/>
          <w:i/>
          <w:sz w:val="20"/>
          <w:szCs w:val="20"/>
          <w:lang w:val="pl-PL"/>
        </w:rPr>
        <w:t>Liczba osób opiekujących się dziećmi w wieku do lat 3 objętych wsparciem w programie</w:t>
      </w:r>
      <w:r>
        <w:rPr>
          <w:rFonts w:ascii="Tahoma" w:eastAsia="Calibri" w:hAnsi="Tahoma" w:cs="Tahoma"/>
          <w:sz w:val="20"/>
          <w:szCs w:val="20"/>
          <w:lang w:val="pl-PL"/>
        </w:rPr>
        <w:t xml:space="preserve">, </w:t>
      </w:r>
      <w:r>
        <w:rPr>
          <w:rFonts w:ascii="Tahoma" w:eastAsia="Calibri" w:hAnsi="Tahoma" w:cs="Tahoma"/>
          <w:i/>
          <w:sz w:val="20"/>
          <w:szCs w:val="20"/>
          <w:lang w:val="pl-PL"/>
        </w:rPr>
        <w:t>Całkowita kwota certyfikowanych wydatków kwalifikowalnych</w:t>
      </w:r>
      <w:r>
        <w:rPr>
          <w:rFonts w:ascii="Tahoma" w:eastAsia="Calibri" w:hAnsi="Tahoma" w:cs="Tahoma"/>
          <w:sz w:val="20"/>
          <w:szCs w:val="20"/>
          <w:lang w:val="pl-PL"/>
        </w:rPr>
        <w:t xml:space="preserve">. Na koniec 2018 r. wskaźnik finansowy osiągnął 125,9% zakładanej wartości pośredniej, a poziom realizacji pozostałych wskaźników wyniósł ponad 100%, tym samym cel pośredni ram wykonania został osiągnięty i osi 8 przysługuje rezerwa wykonania. Łączna kwota środków UE, która pozostanie w osi 3 do zakontraktowania po 2019 r., wynosi ok. 126,1 mln zł (w tym 31,9 mln zł z rezerwy wykonania). dlatego po 2019 r. należy kontynuować nabory. Osiągnięcie celu końcowego ram wykonania zależy od działań podjętych po 2019 r., zwłaszcza w przypadku wskaźnika finansowego, który może być zagrożony, jeśli nie zostaną zorganizowane nabory po 2019 r. Organizacja tych naborów (w ramach działań 8.1.1 i 8.1.2) jest niezbędna także dla osiągnięcia wartości docelowej wskaźnika </w:t>
      </w:r>
      <w:r>
        <w:rPr>
          <w:rFonts w:ascii="Tahoma" w:eastAsia="Calibri" w:hAnsi="Tahoma" w:cs="Tahoma"/>
          <w:i/>
          <w:sz w:val="20"/>
          <w:szCs w:val="20"/>
          <w:lang w:val="pl-PL"/>
        </w:rPr>
        <w:t>Liczba osób opiekujących się dziećmi w wieku do lat 3 objętych wsparciem w programie</w:t>
      </w:r>
      <w:r>
        <w:rPr>
          <w:rFonts w:ascii="Tahoma" w:eastAsia="Calibri" w:hAnsi="Tahoma" w:cs="Tahoma"/>
          <w:sz w:val="20"/>
          <w:szCs w:val="20"/>
          <w:lang w:val="pl-PL"/>
        </w:rPr>
        <w:t>. Nie istnieje natomiast potrzeba realokacji.</w:t>
      </w:r>
    </w:p>
    <w:p w:rsidR="00D84544" w:rsidRDefault="00D84544" w:rsidP="00D84544">
      <w:pPr>
        <w:spacing w:after="120" w:line="288" w:lineRule="auto"/>
        <w:jc w:val="both"/>
        <w:rPr>
          <w:rFonts w:ascii="Tahoma" w:eastAsia="Calibri" w:hAnsi="Tahoma" w:cs="Tahoma"/>
          <w:sz w:val="20"/>
          <w:szCs w:val="20"/>
          <w:lang w:val="pl-PL"/>
        </w:rPr>
      </w:pPr>
      <w:r>
        <w:rPr>
          <w:rFonts w:ascii="Tahoma" w:eastAsia="Calibri" w:hAnsi="Tahoma" w:cs="Tahoma"/>
          <w:sz w:val="20"/>
          <w:szCs w:val="20"/>
          <w:lang w:val="pl-PL"/>
        </w:rPr>
        <w:t xml:space="preserve">W przypadku osi priorytetowej 8 mamy do czynienia z dwoma rodzajami relacji między poniesionymi nakładami a osiągniętymi efektami. W przypadku dużej części wskaźników produktu efektywność okazała się bardzo duża, za planowane środki uda się wg szacunków zrealizować więcej działań, a wartości wskaźników będą większe od planowanych (np. dla wskaźnika </w:t>
      </w:r>
      <w:r>
        <w:rPr>
          <w:rFonts w:ascii="Tahoma" w:eastAsia="Calibri" w:hAnsi="Tahoma" w:cs="Tahoma"/>
          <w:i/>
          <w:sz w:val="20"/>
          <w:szCs w:val="20"/>
          <w:lang w:val="pl-PL"/>
        </w:rPr>
        <w:t>Liczba nauczycieli objętych wsparciem z zakresu TIK w programie</w:t>
      </w:r>
      <w:r>
        <w:rPr>
          <w:rFonts w:ascii="Tahoma" w:eastAsia="Calibri" w:hAnsi="Tahoma" w:cs="Tahoma"/>
          <w:sz w:val="20"/>
          <w:szCs w:val="20"/>
          <w:lang w:val="pl-PL"/>
        </w:rPr>
        <w:t xml:space="preserve"> – ponad sześciokrotnie). Z kolei w przypadku wskaźników rezultatu w obszarze PI8iv, 8vi i 10iv mamy do czynienia z niższą efektywnością niż zakładano.</w:t>
      </w:r>
    </w:p>
    <w:p w:rsidR="00D84544" w:rsidRDefault="00D84544" w:rsidP="00D84544">
      <w:pPr>
        <w:spacing w:after="120" w:line="288" w:lineRule="auto"/>
        <w:jc w:val="both"/>
        <w:rPr>
          <w:rFonts w:ascii="Tahoma" w:eastAsia="Calibri" w:hAnsi="Tahoma" w:cs="Tahoma"/>
          <w:sz w:val="20"/>
          <w:szCs w:val="20"/>
          <w:lang w:val="pl-PL"/>
        </w:rPr>
      </w:pPr>
      <w:r>
        <w:rPr>
          <w:rFonts w:ascii="Tahoma" w:eastAsia="Calibri" w:hAnsi="Tahoma" w:cs="Tahoma"/>
          <w:sz w:val="20"/>
          <w:szCs w:val="20"/>
          <w:lang w:val="pl-PL"/>
        </w:rPr>
        <w:t>Część wskaźników została oszacowana na etapie programowania niżej niż planowane obecnie osiągnięcie – najczęstszą przyczyną była zmiana kursu euro. Z kolei niższy niż zakładano przewidywany poziom realizacji niektórych wskaźników wynika z założeń przyjętych na etapie szacowania lub innych kwestii (np. zmiany w polityce społecznej państwa i związane z tym zmniejszenie zainteresowania godzeniem opieki nad dziećmi z życiem zawodowym). Rekomendujemy w związku z tym urealnienie wartości części wskaźników oraz – w kilku przypadkach – zmianę metodologii.</w:t>
      </w:r>
    </w:p>
    <w:p w:rsidR="00D84544" w:rsidRPr="00EA3FF7" w:rsidRDefault="00D84544" w:rsidP="00D84544">
      <w:pPr>
        <w:spacing w:before="240" w:after="120" w:line="288" w:lineRule="auto"/>
        <w:jc w:val="both"/>
        <w:rPr>
          <w:rFonts w:ascii="Tahoma" w:hAnsi="Tahoma" w:cs="Tahoma"/>
          <w:sz w:val="20"/>
          <w:szCs w:val="20"/>
          <w:u w:val="single"/>
          <w:lang w:val="pl-PL"/>
        </w:rPr>
      </w:pPr>
      <w:r w:rsidRPr="00EA3FF7">
        <w:rPr>
          <w:rFonts w:ascii="Tahoma" w:hAnsi="Tahoma" w:cs="Tahoma"/>
          <w:sz w:val="20"/>
          <w:szCs w:val="20"/>
          <w:u w:val="single"/>
          <w:lang w:val="pl-PL"/>
        </w:rPr>
        <w:t xml:space="preserve">Oś </w:t>
      </w:r>
      <w:r w:rsidRPr="00AB265E">
        <w:rPr>
          <w:rFonts w:ascii="Tahoma" w:hAnsi="Tahoma" w:cs="Tahoma"/>
          <w:sz w:val="20"/>
          <w:szCs w:val="20"/>
          <w:u w:val="single"/>
          <w:lang w:val="pl-PL"/>
        </w:rPr>
        <w:t>priorytetowa</w:t>
      </w:r>
      <w:r w:rsidRPr="00EA3FF7">
        <w:rPr>
          <w:rFonts w:ascii="Tahoma" w:hAnsi="Tahoma" w:cs="Tahoma"/>
          <w:sz w:val="20"/>
          <w:szCs w:val="20"/>
          <w:u w:val="single"/>
          <w:lang w:val="pl-PL"/>
        </w:rPr>
        <w:t xml:space="preserve"> 9. Włączenie społeczne</w:t>
      </w:r>
      <w:r>
        <w:rPr>
          <w:rFonts w:ascii="Tahoma" w:hAnsi="Tahoma" w:cs="Tahoma"/>
          <w:sz w:val="20"/>
          <w:szCs w:val="20"/>
          <w:u w:val="single"/>
          <w:lang w:val="pl-PL"/>
        </w:rPr>
        <w:t xml:space="preserve"> i </w:t>
      </w:r>
      <w:r w:rsidRPr="00EA3FF7">
        <w:rPr>
          <w:rFonts w:ascii="Tahoma" w:hAnsi="Tahoma" w:cs="Tahoma"/>
          <w:sz w:val="20"/>
          <w:szCs w:val="20"/>
          <w:u w:val="single"/>
          <w:lang w:val="pl-PL"/>
        </w:rPr>
        <w:t>walka</w:t>
      </w:r>
      <w:r>
        <w:rPr>
          <w:rFonts w:ascii="Tahoma" w:hAnsi="Tahoma" w:cs="Tahoma"/>
          <w:sz w:val="20"/>
          <w:szCs w:val="20"/>
          <w:u w:val="single"/>
          <w:lang w:val="pl-PL"/>
        </w:rPr>
        <w:t xml:space="preserve"> z </w:t>
      </w:r>
      <w:r w:rsidRPr="00EA3FF7">
        <w:rPr>
          <w:rFonts w:ascii="Tahoma" w:hAnsi="Tahoma" w:cs="Tahoma"/>
          <w:sz w:val="20"/>
          <w:szCs w:val="20"/>
          <w:u w:val="single"/>
          <w:lang w:val="pl-PL"/>
        </w:rPr>
        <w:t>ubóstwem.</w:t>
      </w:r>
    </w:p>
    <w:p w:rsidR="00D84544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>
        <w:rPr>
          <w:rFonts w:ascii="Tahoma" w:hAnsi="Tahoma" w:cs="Tahoma"/>
          <w:sz w:val="20"/>
          <w:szCs w:val="20"/>
          <w:lang w:val="pl-PL"/>
        </w:rPr>
        <w:t xml:space="preserve">W osi 9 cele pośredni dla wskaźników ram wykonania zostały osiągnięte. </w:t>
      </w:r>
    </w:p>
    <w:p w:rsidR="00D84544" w:rsidRPr="005E0DED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 w:rsidRPr="005E0DED">
        <w:rPr>
          <w:rFonts w:ascii="Tahoma" w:hAnsi="Tahoma" w:cs="Tahoma"/>
          <w:sz w:val="20"/>
          <w:szCs w:val="20"/>
          <w:lang w:val="pl-PL"/>
        </w:rPr>
        <w:t>Ze względu na niski stan wdrażania osi 9, nie można jeszcze określić czy</w:t>
      </w:r>
      <w:r>
        <w:rPr>
          <w:rFonts w:ascii="Tahoma" w:hAnsi="Tahoma" w:cs="Tahoma"/>
          <w:sz w:val="20"/>
          <w:szCs w:val="20"/>
          <w:lang w:val="pl-PL"/>
        </w:rPr>
        <w:t xml:space="preserve"> i w </w:t>
      </w:r>
      <w:r w:rsidRPr="005E0DED">
        <w:rPr>
          <w:rFonts w:ascii="Tahoma" w:hAnsi="Tahoma" w:cs="Tahoma"/>
          <w:sz w:val="20"/>
          <w:szCs w:val="20"/>
          <w:lang w:val="pl-PL"/>
        </w:rPr>
        <w:t>jakim stopniu uda się zrealizować cele końcowe dla wskaźników ram wykonania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5E0DED">
        <w:rPr>
          <w:rFonts w:ascii="Tahoma" w:hAnsi="Tahoma" w:cs="Tahoma"/>
          <w:sz w:val="20"/>
          <w:szCs w:val="20"/>
          <w:lang w:val="pl-PL"/>
        </w:rPr>
        <w:t>2023 r. Nie można też tego określić dla wskaźników programowych produktu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5E0DED">
        <w:rPr>
          <w:rFonts w:ascii="Tahoma" w:hAnsi="Tahoma" w:cs="Tahoma"/>
          <w:sz w:val="20"/>
          <w:szCs w:val="20"/>
          <w:lang w:val="pl-PL"/>
        </w:rPr>
        <w:t>PI 9i</w:t>
      </w:r>
      <w:r>
        <w:rPr>
          <w:rFonts w:ascii="Tahoma" w:hAnsi="Tahoma" w:cs="Tahoma"/>
          <w:sz w:val="20"/>
          <w:szCs w:val="20"/>
          <w:lang w:val="pl-PL"/>
        </w:rPr>
        <w:t xml:space="preserve"> i </w:t>
      </w:r>
      <w:r w:rsidRPr="005E0DED">
        <w:rPr>
          <w:rFonts w:ascii="Tahoma" w:hAnsi="Tahoma" w:cs="Tahoma"/>
          <w:sz w:val="20"/>
          <w:szCs w:val="20"/>
          <w:lang w:val="pl-PL"/>
        </w:rPr>
        <w:t xml:space="preserve">PI 9iv. </w:t>
      </w:r>
    </w:p>
    <w:p w:rsidR="00D84544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 w:rsidRPr="005E0DED">
        <w:rPr>
          <w:rFonts w:ascii="Tahoma" w:hAnsi="Tahoma" w:cs="Tahoma"/>
          <w:sz w:val="20"/>
          <w:szCs w:val="20"/>
          <w:lang w:val="pl-PL"/>
        </w:rPr>
        <w:t>Z tego samego powodu, można natomiast przewidzieć, że po zakończeniu naborów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5E0DED">
        <w:rPr>
          <w:rFonts w:ascii="Tahoma" w:hAnsi="Tahoma" w:cs="Tahoma"/>
          <w:sz w:val="20"/>
          <w:szCs w:val="20"/>
          <w:lang w:val="pl-PL"/>
        </w:rPr>
        <w:t>2019 r., cele końcowe dla wskaźników ram wykonania oraz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5E0DED">
        <w:rPr>
          <w:rFonts w:ascii="Tahoma" w:hAnsi="Tahoma" w:cs="Tahoma"/>
          <w:sz w:val="20"/>
          <w:szCs w:val="20"/>
          <w:lang w:val="pl-PL"/>
        </w:rPr>
        <w:t>wskaźników programowych produktu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5E0DED">
        <w:rPr>
          <w:rFonts w:ascii="Tahoma" w:hAnsi="Tahoma" w:cs="Tahoma"/>
          <w:sz w:val="20"/>
          <w:szCs w:val="20"/>
          <w:lang w:val="pl-PL"/>
        </w:rPr>
        <w:t>PI 9i</w:t>
      </w:r>
      <w:r>
        <w:rPr>
          <w:rFonts w:ascii="Tahoma" w:hAnsi="Tahoma" w:cs="Tahoma"/>
          <w:sz w:val="20"/>
          <w:szCs w:val="20"/>
          <w:lang w:val="pl-PL"/>
        </w:rPr>
        <w:t xml:space="preserve"> i </w:t>
      </w:r>
      <w:r w:rsidRPr="005E0DED">
        <w:rPr>
          <w:rFonts w:ascii="Tahoma" w:hAnsi="Tahoma" w:cs="Tahoma"/>
          <w:sz w:val="20"/>
          <w:szCs w:val="20"/>
          <w:lang w:val="pl-PL"/>
        </w:rPr>
        <w:t>PI 9iv nie zostaną (jeszcze) osiągnięte</w:t>
      </w:r>
      <w:r>
        <w:rPr>
          <w:rFonts w:ascii="Tahoma" w:hAnsi="Tahoma" w:cs="Tahoma"/>
          <w:sz w:val="20"/>
          <w:szCs w:val="20"/>
          <w:lang w:val="pl-PL"/>
        </w:rPr>
        <w:t xml:space="preserve"> i </w:t>
      </w:r>
      <w:r w:rsidRPr="005E0DED">
        <w:rPr>
          <w:rFonts w:ascii="Tahoma" w:hAnsi="Tahoma" w:cs="Tahoma"/>
          <w:sz w:val="20"/>
          <w:szCs w:val="20"/>
          <w:lang w:val="pl-PL"/>
        </w:rPr>
        <w:t>konieczne będą dodatkowe nabory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5E0DED">
        <w:rPr>
          <w:rFonts w:ascii="Tahoma" w:hAnsi="Tahoma" w:cs="Tahoma"/>
          <w:sz w:val="20"/>
          <w:szCs w:val="20"/>
          <w:lang w:val="pl-PL"/>
        </w:rPr>
        <w:t>roku 2020, choć na dzień</w:t>
      </w:r>
      <w:r>
        <w:rPr>
          <w:rFonts w:ascii="Tahoma" w:hAnsi="Tahoma" w:cs="Tahoma"/>
          <w:sz w:val="20"/>
          <w:szCs w:val="20"/>
          <w:lang w:val="pl-PL"/>
        </w:rPr>
        <w:t xml:space="preserve"> dzisiejszy nie można powiedzieć, w jakim wymiarze.</w:t>
      </w:r>
    </w:p>
    <w:p w:rsidR="00D84544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>
        <w:rPr>
          <w:rFonts w:ascii="Tahoma" w:hAnsi="Tahoma" w:cs="Tahoma"/>
          <w:sz w:val="20"/>
          <w:szCs w:val="20"/>
          <w:lang w:val="pl-PL"/>
        </w:rPr>
        <w:t xml:space="preserve">Nie potrafimy przewidzieć dokładnego poziomu, na jakim ukształtują się te wskaźniki po zakończeniu naborów w 2019 r. Usytuują się one zapewne w szerokich przedziałach, wyznaczanych przez szacunki w wariancie realistycznym i optymistycznym prognozy. Dla wskaźników ram wykonania, ich granice są </w:t>
      </w:r>
      <w:r>
        <w:rPr>
          <w:rFonts w:ascii="Tahoma" w:hAnsi="Tahoma" w:cs="Tahoma"/>
          <w:sz w:val="20"/>
          <w:szCs w:val="20"/>
          <w:lang w:val="pl-PL"/>
        </w:rPr>
        <w:lastRenderedPageBreak/>
        <w:t xml:space="preserve">rozpięte od 50% do 81 % wartości celu końcowego, dla wskaźników programowych produktu w PI 9i i 9iv, przedziały te są nawet szersze. </w:t>
      </w:r>
    </w:p>
    <w:p w:rsidR="00D84544" w:rsidRDefault="00D84544" w:rsidP="00D84544">
      <w:pPr>
        <w:spacing w:after="120" w:line="288" w:lineRule="auto"/>
        <w:jc w:val="both"/>
        <w:rPr>
          <w:rFonts w:ascii="Tahoma" w:hAnsi="Tahoma" w:cs="Tahoma"/>
          <w:strike/>
          <w:sz w:val="20"/>
          <w:szCs w:val="20"/>
          <w:lang w:val="pl-PL"/>
        </w:rPr>
      </w:pPr>
      <w:r>
        <w:rPr>
          <w:rFonts w:ascii="Tahoma" w:hAnsi="Tahoma" w:cs="Tahoma"/>
          <w:color w:val="000000"/>
          <w:sz w:val="20"/>
          <w:szCs w:val="20"/>
          <w:lang w:val="pl-PL"/>
        </w:rPr>
        <w:t xml:space="preserve">Z perspektywy realizacji celu końcowego w 2023 r., bardzo ważne jest, by rzeczywiste wykonanie wskaźników po roku 2019, było jak najbardziej zbliżone do szacunków w wariancie optymistycznym. Zależy to w dużej mierze do tego, w jakim stopniu uda się poprawić kontraktację w naborach rozstrzyganych w 2019 r. (spodziewamy się, że będzie ona lepsza, w porównaniu z okresem poprzednim, ale nie możemy przewidzieć o ile). Stąd też, </w:t>
      </w:r>
      <w:r>
        <w:rPr>
          <w:rFonts w:ascii="Tahoma" w:hAnsi="Tahoma" w:cs="Tahoma"/>
          <w:sz w:val="20"/>
          <w:szCs w:val="20"/>
          <w:lang w:val="pl-PL"/>
        </w:rPr>
        <w:t xml:space="preserve">IZ powinna na bieżąco monitorować skuteczność naborów przeprowadzanych w 2019 r. i prowadzić dalej akcję informowania i szkolenia potencjalnych beneficjentów. </w:t>
      </w:r>
    </w:p>
    <w:p w:rsidR="00D84544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>
        <w:rPr>
          <w:rFonts w:ascii="Tahoma" w:hAnsi="Tahoma" w:cs="Tahoma"/>
          <w:sz w:val="20"/>
          <w:szCs w:val="20"/>
          <w:lang w:val="pl-PL"/>
        </w:rPr>
        <w:t>Cel końcowy dla wskaźników programowych produktu w PI 9v zostanie osiągnięty, jest prawdopodobne, że uda się go zrealizować już w wyniku naborów rozstrzygniętych w 2019 r. (nabory w 2020 r. nie będą potrzebne).</w:t>
      </w:r>
    </w:p>
    <w:p w:rsidR="00D84544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>
        <w:rPr>
          <w:rFonts w:ascii="Tahoma" w:hAnsi="Tahoma" w:cs="Tahoma"/>
          <w:sz w:val="20"/>
          <w:szCs w:val="20"/>
          <w:lang w:val="pl-PL"/>
        </w:rPr>
        <w:t>Prognozowany stopień osiągnięcia celu końcowego dla wspólnych i specyficznych dla programu wskaźników rezultatu jest satysfakcjonujący. W większości przypadków, wartości założone dla wskaźników uda się uzyskać lub je przekroczyć. Dotyczy to również wskaźników mierzących stopień aktywizacji zawodowej (w tym zatrudnienie) uczestników programu.</w:t>
      </w:r>
    </w:p>
    <w:p w:rsidR="00D84544" w:rsidRDefault="00D84544" w:rsidP="00D84544">
      <w:pPr>
        <w:spacing w:before="240" w:after="120" w:line="288" w:lineRule="auto"/>
        <w:jc w:val="both"/>
        <w:rPr>
          <w:rFonts w:ascii="Tahoma" w:hAnsi="Tahoma" w:cs="Tahoma"/>
          <w:sz w:val="20"/>
          <w:szCs w:val="20"/>
          <w:u w:val="single"/>
          <w:lang w:val="pl-PL"/>
        </w:rPr>
      </w:pPr>
      <w:r>
        <w:rPr>
          <w:rFonts w:ascii="Tahoma" w:hAnsi="Tahoma" w:cs="Tahoma"/>
          <w:sz w:val="20"/>
          <w:szCs w:val="20"/>
          <w:u w:val="single"/>
          <w:lang w:val="pl-PL"/>
        </w:rPr>
        <w:t>Oś priorytetowa 10. Otwarty rynek pracy</w:t>
      </w:r>
    </w:p>
    <w:p w:rsidR="00D84544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>
        <w:rPr>
          <w:rFonts w:ascii="Tahoma" w:hAnsi="Tahoma" w:cs="Tahoma"/>
          <w:sz w:val="20"/>
          <w:szCs w:val="20"/>
          <w:lang w:val="pl-PL"/>
        </w:rPr>
        <w:t>Celem interwencji realizowanej poprzez działania osi priorytetowej 10 „Otwarty rynek pracy” jest realizacja Celu Tematycznego 8 - promowanie trwałego i wysokiej jakości zatrudnienia oraz wsparcie mobilności pracowników. Osiąganie celu ma miejsce poprzez działania publicznych służb zatrudnienia; wspieranie projektów podnoszących aktywność zawodową osób powyżej 29 roku życia; rozwój przedsiębiorczości i tworzenie nowych miejsc pracy; przystosowanie pracowników, przedsiębiorstw i przedsiębiorców do zmian. Alokacja środków UE wraz z rezerwą wykonania na oś priorytetową 10 wynosi 125,08 mln EUR (536 mln złotych).</w:t>
      </w:r>
    </w:p>
    <w:p w:rsidR="00D84544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>
        <w:rPr>
          <w:rFonts w:ascii="Tahoma" w:hAnsi="Tahoma" w:cs="Tahoma"/>
          <w:sz w:val="20"/>
          <w:szCs w:val="20"/>
          <w:lang w:val="pl-PL"/>
        </w:rPr>
        <w:t xml:space="preserve">W osi priorytetowej 10 przyjęto dwa wskaźniki zaliczane do tzw. ram wykonania: </w:t>
      </w:r>
      <w:r>
        <w:rPr>
          <w:rFonts w:ascii="Tahoma" w:hAnsi="Tahoma" w:cs="Tahoma"/>
          <w:i/>
          <w:sz w:val="20"/>
          <w:szCs w:val="20"/>
          <w:lang w:val="pl-PL"/>
        </w:rPr>
        <w:t>Liczba osób bezrobotnych, w tym długotrwale bezrobotnych, objętych wsparciem w programie</w:t>
      </w:r>
      <w:r>
        <w:rPr>
          <w:rFonts w:ascii="Tahoma" w:hAnsi="Tahoma" w:cs="Tahoma"/>
          <w:sz w:val="20"/>
          <w:szCs w:val="20"/>
          <w:lang w:val="pl-PL"/>
        </w:rPr>
        <w:t xml:space="preserve"> oraz </w:t>
      </w:r>
      <w:r>
        <w:rPr>
          <w:rFonts w:ascii="Tahoma" w:hAnsi="Tahoma" w:cs="Tahoma"/>
          <w:i/>
          <w:sz w:val="20"/>
          <w:szCs w:val="20"/>
          <w:lang w:val="pl-PL"/>
        </w:rPr>
        <w:t>Całkowita kwota certyfikowanych wydatków kwalifikowanych</w:t>
      </w:r>
      <w:r>
        <w:rPr>
          <w:rFonts w:ascii="Tahoma" w:hAnsi="Tahoma" w:cs="Tahoma"/>
          <w:sz w:val="20"/>
          <w:szCs w:val="20"/>
          <w:lang w:val="pl-PL"/>
        </w:rPr>
        <w:t xml:space="preserve">. Wartości pośrednie obu wskaźników, zaplanowane do realizacji na koniec 2018 roku, zostały osiągnięte. Przeprowadzona analiza wskazuje na to, </w:t>
      </w:r>
      <w:r w:rsidR="00533454">
        <w:rPr>
          <w:rFonts w:ascii="Tahoma" w:hAnsi="Tahoma" w:cs="Tahoma"/>
          <w:sz w:val="20"/>
          <w:szCs w:val="20"/>
          <w:lang w:val="pl-PL"/>
        </w:rPr>
        <w:br/>
      </w:r>
      <w:r>
        <w:rPr>
          <w:rFonts w:ascii="Tahoma" w:hAnsi="Tahoma" w:cs="Tahoma"/>
          <w:sz w:val="20"/>
          <w:szCs w:val="20"/>
          <w:lang w:val="pl-PL"/>
        </w:rPr>
        <w:t>że osiągnięcie wartości celu końcowego wskaźników nie jest zagrożone. Jedynie w przypadku działania 10.5., w ramach którego realizowane są usługi rozwojowe dla przedsiębiorstw i ich pracowników, zidentyfikowane zostały ryzyka wymagające na tym etapie ze strony IZ/IP ścisłego monitoringu poziomów wzrostu uczestnictwa i wydatkowania.</w:t>
      </w:r>
    </w:p>
    <w:p w:rsidR="00D84544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>
        <w:rPr>
          <w:rFonts w:ascii="Tahoma" w:hAnsi="Tahoma" w:cs="Tahoma"/>
          <w:sz w:val="20"/>
          <w:szCs w:val="20"/>
          <w:lang w:val="pl-PL"/>
        </w:rPr>
        <w:t>Prognoza wskazuje na to, ze zaplanowane wskaźniki na poziomie priorytetów inwestycyjnych w większości zostaną osiągnięte lub przekroczone, w kilku przypadku rekomenduje się monitoring, lepsze powiązanie oczekiwań z kontraktowanymi zobowiązaniami oraz (w jednym przypadku) urealnienie celu końcowego.</w:t>
      </w:r>
    </w:p>
    <w:p w:rsidR="00D84544" w:rsidRPr="005E0DED" w:rsidRDefault="00D84544" w:rsidP="00D84544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>
        <w:rPr>
          <w:rFonts w:ascii="Tahoma" w:hAnsi="Tahoma" w:cs="Tahoma"/>
          <w:sz w:val="20"/>
          <w:szCs w:val="20"/>
          <w:lang w:val="pl-PL"/>
        </w:rPr>
        <w:t xml:space="preserve">Zidentyfikowany został </w:t>
      </w:r>
      <w:r>
        <w:rPr>
          <w:rFonts w:ascii="Tahoma" w:hAnsi="Tahoma" w:cs="Tahoma"/>
          <w:sz w:val="18"/>
          <w:szCs w:val="18"/>
          <w:lang w:val="pl-PL"/>
        </w:rPr>
        <w:t>s</w:t>
      </w:r>
      <w:r>
        <w:rPr>
          <w:rFonts w:ascii="Tahoma" w:hAnsi="Tahoma" w:cs="Tahoma"/>
          <w:sz w:val="20"/>
          <w:szCs w:val="20"/>
          <w:lang w:val="pl-PL"/>
        </w:rPr>
        <w:t>zczególnie</w:t>
      </w:r>
      <w:r>
        <w:rPr>
          <w:rFonts w:ascii="Tahoma" w:hAnsi="Tahoma" w:cs="Tahoma"/>
          <w:sz w:val="18"/>
          <w:szCs w:val="18"/>
          <w:lang w:val="pl-PL"/>
        </w:rPr>
        <w:t xml:space="preserve"> w</w:t>
      </w:r>
      <w:r>
        <w:rPr>
          <w:rFonts w:ascii="Tahoma" w:hAnsi="Tahoma" w:cs="Tahoma"/>
          <w:sz w:val="20"/>
          <w:szCs w:val="20"/>
          <w:lang w:val="pl-PL"/>
        </w:rPr>
        <w:t xml:space="preserve">ysoki poziom celowości skierowania dodatkowych środków (całości rezerwy wykonania), w alokacji dedykowanej OSI, na działania wspierające rozwój przedsiębiorczości poprzez instrumenty bezzwrotne na rozpoczynanie działalności gospodarczej. Raport zwraca uwagę na fakt, że w zależności od skali pojawiania się oszczędności w późnym okresie realizacji programu może </w:t>
      </w:r>
      <w:r w:rsidRPr="005E0DED">
        <w:rPr>
          <w:rFonts w:ascii="Tahoma" w:hAnsi="Tahoma" w:cs="Tahoma"/>
          <w:sz w:val="20"/>
          <w:szCs w:val="20"/>
          <w:lang w:val="pl-PL"/>
        </w:rPr>
        <w:t>się pojawić konieczność realokacji wewnątrz osi.</w:t>
      </w:r>
    </w:p>
    <w:p w:rsidR="0089509A" w:rsidRPr="00D850E8" w:rsidRDefault="00D84544" w:rsidP="00D850E8">
      <w:pPr>
        <w:spacing w:after="120" w:line="288" w:lineRule="auto"/>
        <w:jc w:val="both"/>
        <w:rPr>
          <w:rFonts w:ascii="Tahoma" w:hAnsi="Tahoma" w:cs="Tahoma"/>
          <w:sz w:val="20"/>
          <w:szCs w:val="20"/>
          <w:lang w:val="pl-PL"/>
        </w:rPr>
      </w:pPr>
      <w:r w:rsidRPr="005E0DED">
        <w:rPr>
          <w:rFonts w:ascii="Tahoma" w:hAnsi="Tahoma" w:cs="Tahoma"/>
          <w:sz w:val="20"/>
          <w:szCs w:val="20"/>
          <w:lang w:val="pl-PL"/>
        </w:rPr>
        <w:t>Dotychczasowa efektywność finansowa</w:t>
      </w:r>
      <w:r>
        <w:rPr>
          <w:rFonts w:ascii="Tahoma" w:hAnsi="Tahoma" w:cs="Tahoma"/>
          <w:sz w:val="20"/>
          <w:szCs w:val="20"/>
          <w:lang w:val="pl-PL"/>
        </w:rPr>
        <w:t xml:space="preserve"> i </w:t>
      </w:r>
      <w:r w:rsidRPr="005E0DED">
        <w:rPr>
          <w:rFonts w:ascii="Tahoma" w:hAnsi="Tahoma" w:cs="Tahoma"/>
          <w:sz w:val="20"/>
          <w:szCs w:val="20"/>
          <w:lang w:val="pl-PL"/>
        </w:rPr>
        <w:t>organizacyjna interwencji realizowanej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5E0DED">
        <w:rPr>
          <w:rFonts w:ascii="Tahoma" w:hAnsi="Tahoma" w:cs="Tahoma"/>
          <w:sz w:val="20"/>
          <w:szCs w:val="20"/>
          <w:lang w:val="pl-PL"/>
        </w:rPr>
        <w:t>ramach osi priorytetowej 10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5E0DED">
        <w:rPr>
          <w:rFonts w:ascii="Tahoma" w:hAnsi="Tahoma" w:cs="Tahoma"/>
          <w:sz w:val="20"/>
          <w:szCs w:val="20"/>
          <w:lang w:val="pl-PL"/>
        </w:rPr>
        <w:t xml:space="preserve">zakresie przeprowadzonej analizy oceniana jest bardzo wysoko. Znajduje </w:t>
      </w:r>
      <w:r w:rsidR="00533454">
        <w:rPr>
          <w:rFonts w:ascii="Tahoma" w:hAnsi="Tahoma" w:cs="Tahoma"/>
          <w:sz w:val="20"/>
          <w:szCs w:val="20"/>
          <w:lang w:val="pl-PL"/>
        </w:rPr>
        <w:br/>
      </w:r>
      <w:r w:rsidRPr="005E0DED">
        <w:rPr>
          <w:rFonts w:ascii="Tahoma" w:hAnsi="Tahoma" w:cs="Tahoma"/>
          <w:sz w:val="20"/>
          <w:szCs w:val="20"/>
          <w:lang w:val="pl-PL"/>
        </w:rPr>
        <w:lastRenderedPageBreak/>
        <w:t>to potwierdzenie m.in.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5E0DED">
        <w:rPr>
          <w:rFonts w:ascii="Tahoma" w:hAnsi="Tahoma" w:cs="Tahoma"/>
          <w:sz w:val="20"/>
          <w:szCs w:val="20"/>
          <w:lang w:val="pl-PL"/>
        </w:rPr>
        <w:t>wynikach przeprowadzonego badania ilościowego wśród beneficjentów wsparcia, podkreślających także wynikający</w:t>
      </w:r>
      <w:r>
        <w:rPr>
          <w:rFonts w:ascii="Tahoma" w:hAnsi="Tahoma" w:cs="Tahoma"/>
          <w:sz w:val="20"/>
          <w:szCs w:val="20"/>
          <w:lang w:val="pl-PL"/>
        </w:rPr>
        <w:t xml:space="preserve"> z </w:t>
      </w:r>
      <w:r w:rsidRPr="005E0DED">
        <w:rPr>
          <w:rFonts w:ascii="Tahoma" w:hAnsi="Tahoma" w:cs="Tahoma"/>
          <w:sz w:val="20"/>
          <w:szCs w:val="20"/>
          <w:lang w:val="pl-PL"/>
        </w:rPr>
        <w:t>zastosowanych rozwiązań właściwy poziom efektywności wsparcia po stronie beneficjentów. Działania</w:t>
      </w:r>
      <w:r>
        <w:rPr>
          <w:rFonts w:ascii="Tahoma" w:hAnsi="Tahoma" w:cs="Tahoma"/>
          <w:sz w:val="20"/>
          <w:szCs w:val="20"/>
          <w:lang w:val="pl-PL"/>
        </w:rPr>
        <w:t xml:space="preserve"> i </w:t>
      </w:r>
      <w:r w:rsidRPr="005E0DED">
        <w:rPr>
          <w:rFonts w:ascii="Tahoma" w:hAnsi="Tahoma" w:cs="Tahoma"/>
          <w:sz w:val="20"/>
          <w:szCs w:val="20"/>
          <w:lang w:val="pl-PL"/>
        </w:rPr>
        <w:t>rezultaty osiągane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5E0DED">
        <w:rPr>
          <w:rFonts w:ascii="Tahoma" w:hAnsi="Tahoma" w:cs="Tahoma"/>
          <w:sz w:val="20"/>
          <w:szCs w:val="20"/>
          <w:lang w:val="pl-PL"/>
        </w:rPr>
        <w:t>ramach osi priorytetowej 10 bezpośrednio przyczyniają się do realizacji wskaźnika zatrudnienia określonego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5E0DED">
        <w:rPr>
          <w:rFonts w:ascii="Tahoma" w:hAnsi="Tahoma" w:cs="Tahoma"/>
          <w:sz w:val="20"/>
          <w:szCs w:val="20"/>
          <w:lang w:val="pl-PL"/>
        </w:rPr>
        <w:t>Europa 2020, wnoszą wkład do stopnia osiągania tego celu na terenie województwa,</w:t>
      </w:r>
      <w:r>
        <w:rPr>
          <w:rFonts w:ascii="Tahoma" w:hAnsi="Tahoma" w:cs="Tahoma"/>
          <w:sz w:val="20"/>
          <w:szCs w:val="20"/>
          <w:lang w:val="pl-PL"/>
        </w:rPr>
        <w:t xml:space="preserve"> a </w:t>
      </w:r>
      <w:r w:rsidRPr="005E0DED">
        <w:rPr>
          <w:rFonts w:ascii="Tahoma" w:hAnsi="Tahoma" w:cs="Tahoma"/>
          <w:sz w:val="20"/>
          <w:szCs w:val="20"/>
          <w:lang w:val="pl-PL"/>
        </w:rPr>
        <w:t>przez to wpływają na stopień osiągnięcia</w:t>
      </w:r>
      <w:r>
        <w:rPr>
          <w:rFonts w:ascii="Tahoma" w:hAnsi="Tahoma" w:cs="Tahoma"/>
          <w:sz w:val="20"/>
          <w:szCs w:val="20"/>
          <w:lang w:val="pl-PL"/>
        </w:rPr>
        <w:t xml:space="preserve"> w </w:t>
      </w:r>
      <w:r w:rsidRPr="005E0DED">
        <w:rPr>
          <w:rFonts w:ascii="Tahoma" w:hAnsi="Tahoma" w:cs="Tahoma"/>
          <w:sz w:val="20"/>
          <w:szCs w:val="20"/>
          <w:lang w:val="pl-PL"/>
        </w:rPr>
        <w:t>kraju</w:t>
      </w:r>
      <w:r>
        <w:rPr>
          <w:rFonts w:ascii="Tahoma" w:hAnsi="Tahoma" w:cs="Tahoma"/>
          <w:sz w:val="20"/>
          <w:szCs w:val="20"/>
          <w:lang w:val="pl-PL"/>
        </w:rPr>
        <w:t xml:space="preserve"> i w </w:t>
      </w:r>
      <w:r w:rsidRPr="005E0DED">
        <w:rPr>
          <w:rFonts w:ascii="Tahoma" w:hAnsi="Tahoma" w:cs="Tahoma"/>
          <w:sz w:val="20"/>
          <w:szCs w:val="20"/>
          <w:lang w:val="pl-PL"/>
        </w:rPr>
        <w:t>Europie.</w:t>
      </w:r>
    </w:p>
    <w:sectPr w:rsidR="0089509A" w:rsidRPr="00D850E8" w:rsidSect="00533454">
      <w:headerReference w:type="default" r:id="rId7"/>
      <w:footerReference w:type="default" r:id="rId8"/>
      <w:pgSz w:w="11906" w:h="16838"/>
      <w:pgMar w:top="1135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84544" w:rsidRDefault="00D84544" w:rsidP="00D84544">
      <w:r>
        <w:separator/>
      </w:r>
    </w:p>
  </w:endnote>
  <w:endnote w:type="continuationSeparator" w:id="0">
    <w:p w:rsidR="00D84544" w:rsidRDefault="00D84544" w:rsidP="00D845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11850462"/>
      <w:docPartObj>
        <w:docPartGallery w:val="Page Numbers (Bottom of Page)"/>
        <w:docPartUnique/>
      </w:docPartObj>
    </w:sdtPr>
    <w:sdtEndPr/>
    <w:sdtContent>
      <w:p w:rsidR="00D850E8" w:rsidRDefault="00D850E8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pl-PL"/>
          </w:rPr>
          <w:t>2</w:t>
        </w:r>
        <w:r>
          <w:fldChar w:fldCharType="end"/>
        </w:r>
      </w:p>
    </w:sdtContent>
  </w:sdt>
  <w:p w:rsidR="00D850E8" w:rsidRDefault="00D850E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84544" w:rsidRDefault="00D84544" w:rsidP="00D84544">
      <w:r>
        <w:separator/>
      </w:r>
    </w:p>
  </w:footnote>
  <w:footnote w:type="continuationSeparator" w:id="0">
    <w:p w:rsidR="00D84544" w:rsidRDefault="00D84544" w:rsidP="00D84544">
      <w:r>
        <w:continuationSeparator/>
      </w:r>
    </w:p>
  </w:footnote>
  <w:footnote w:id="1">
    <w:p w:rsidR="00996AD2" w:rsidRPr="00596A49" w:rsidRDefault="00996AD2" w:rsidP="00996AD2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sz w:val="16"/>
          <w:szCs w:val="16"/>
        </w:rPr>
      </w:pPr>
      <w:r w:rsidRPr="00596A49">
        <w:rPr>
          <w:rStyle w:val="Odwoanieprzypisudolnego"/>
          <w:rFonts w:ascii="Tahoma" w:hAnsi="Tahoma" w:cs="Tahoma"/>
          <w:sz w:val="16"/>
          <w:szCs w:val="16"/>
        </w:rPr>
        <w:footnoteRef/>
      </w:r>
      <w:r w:rsidRPr="00596A49">
        <w:rPr>
          <w:rFonts w:ascii="Tahoma" w:hAnsi="Tahoma" w:cs="Tahoma"/>
          <w:sz w:val="16"/>
          <w:szCs w:val="16"/>
        </w:rPr>
        <w:t xml:space="preserve"> </w:t>
      </w:r>
      <w:r w:rsidRPr="00596A49">
        <w:rPr>
          <w:rStyle w:val="normaltextrun"/>
          <w:rFonts w:ascii="Tahoma" w:hAnsi="Tahoma" w:cs="Tahoma"/>
          <w:sz w:val="16"/>
          <w:szCs w:val="16"/>
        </w:rPr>
        <w:t>Rozporządzenie wykonawcze Komisji (UE) nr 215/2014 z dnia 7 marca 2014 r. Art.6.</w:t>
      </w:r>
      <w:r w:rsidRPr="00596A49">
        <w:rPr>
          <w:rStyle w:val="normaltextrun"/>
          <w:rFonts w:ascii="Tahoma" w:hAnsi="Tahoma" w:cs="Tahoma"/>
          <w:sz w:val="20"/>
          <w:szCs w:val="20"/>
        </w:rPr>
        <w:t xml:space="preserve"> </w:t>
      </w:r>
      <w:r w:rsidRPr="00596A49">
        <w:rPr>
          <w:rStyle w:val="normaltextrun"/>
          <w:rFonts w:ascii="Tahoma" w:hAnsi="Tahoma" w:cs="Tahoma"/>
          <w:sz w:val="16"/>
          <w:szCs w:val="16"/>
        </w:rPr>
        <w:t>Cele pośrednie lub końcowe priorytetu uważa się za osiągnięte, jeżeli wszystkie wskaźniki zawarte w odpowiednich ramach wykonania osiągnęły co najmniej 85 % wartości celu pośredniego do końca 2018 r. lub co najmniej 85% wartości celu końcowego do końca 2023 r. W drodze odstępstwa, w przypadku,</w:t>
      </w:r>
      <w:r w:rsidRPr="00596A49">
        <w:rPr>
          <w:rStyle w:val="normaltextrun"/>
          <w:rFonts w:ascii="Tahoma" w:hAnsi="Tahoma" w:cs="Tahoma"/>
          <w:sz w:val="20"/>
          <w:szCs w:val="20"/>
        </w:rPr>
        <w:t xml:space="preserve"> </w:t>
      </w:r>
      <w:r w:rsidRPr="00596A49">
        <w:rPr>
          <w:rStyle w:val="normaltextrun"/>
          <w:rFonts w:ascii="Tahoma" w:hAnsi="Tahoma" w:cs="Tahoma"/>
          <w:sz w:val="16"/>
          <w:szCs w:val="16"/>
        </w:rPr>
        <w:t>gdy ramy wykonania obejmują trzy lub więcej wskaźników, cele pośrednie lub końcowe priorytetu uważa się za osiągnięte, jeżeli wszystkie wskaźniki z wyjątkiem jednego osiągnęły co najmniej 85 % wartości odpowiedniego celu pośredniego do końca 2018 r. lub co najmniej 85 % wartości odpowiedniego celu końcowego do końca 2023 r. Wskaźnik, który nie osiągnął 85% wartości odpowiedniego celu pośredniego lub docelowego, musi osiągnąć co najmniej 75 % wartości odpowiedniego celu pośredniego lub docelowego.</w:t>
      </w:r>
    </w:p>
    <w:p w:rsidR="00996AD2" w:rsidRPr="00596A49" w:rsidRDefault="00996AD2" w:rsidP="00996AD2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Tahoma" w:hAnsi="Tahoma" w:cs="Tahoma"/>
          <w:sz w:val="16"/>
          <w:szCs w:val="16"/>
        </w:rPr>
      </w:pPr>
      <w:r w:rsidRPr="00596A49">
        <w:rPr>
          <w:rStyle w:val="normaltextrun"/>
          <w:rFonts w:ascii="Tahoma" w:hAnsi="Tahoma" w:cs="Tahoma"/>
          <w:sz w:val="16"/>
          <w:szCs w:val="16"/>
        </w:rPr>
        <w:t>W przypadku osi priorytetowych, dla którego ramy wykonania zawierają nie więcej niż dwa wskaźniki, nieosiągnięcie do końca 2018 r. co najmniej 65 % wartości celu pośredniego dla jednego z tych wskaźników uważa się za poważne niepowodzenie w wykonaniu celów pośrednich. Nieosiągnięcie do końca 2023 r. co najmniej 65 % wartości celu końcowego dla jednego z tych wskaźników uważa się za poważne niepowodzenie w wykonaniu celów końcowych.</w:t>
      </w:r>
    </w:p>
    <w:p w:rsidR="00996AD2" w:rsidRPr="00596A49" w:rsidRDefault="00996AD2" w:rsidP="00996AD2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Tahoma" w:hAnsi="Tahoma" w:cs="Tahoma"/>
          <w:sz w:val="16"/>
          <w:szCs w:val="16"/>
        </w:rPr>
      </w:pPr>
      <w:r w:rsidRPr="00596A49">
        <w:rPr>
          <w:rStyle w:val="normaltextrun"/>
          <w:rFonts w:ascii="Tahoma" w:hAnsi="Tahoma" w:cs="Tahoma"/>
          <w:sz w:val="16"/>
          <w:szCs w:val="16"/>
        </w:rPr>
        <w:t>W przypadku osi priorytetowych, dla którego ramy wykonania obejmują więcej niż dwa wskaźniki, nieosiągnięcie co najmniej 65 % wartości celu pośredniego do końca 2018 r. dla co najmniej dwóch z tych wskaźników uznaje się za poważne niepowodzenie w wykonaniu celów pośrednich. Nieosiągnięcie co najmniej 65 % wartości celu końcowego do końca 2023 r. dla co najmniej dwóch z tych wskaźników uznaje się za poważne uchybienie w wykonaniu celów końcowych.</w:t>
      </w:r>
    </w:p>
    <w:p w:rsidR="00996AD2" w:rsidRDefault="00996AD2" w:rsidP="00996AD2">
      <w:pPr>
        <w:pStyle w:val="Tekstprzypisudolnego"/>
        <w:jc w:val="both"/>
      </w:pPr>
    </w:p>
  </w:footnote>
  <w:footnote w:id="2">
    <w:p w:rsidR="00D84544" w:rsidRDefault="00D84544" w:rsidP="00D84544">
      <w:pPr>
        <w:pStyle w:val="Tekstprzypisudolnego"/>
        <w:rPr>
          <w:sz w:val="18"/>
          <w:szCs w:val="18"/>
        </w:rPr>
      </w:pPr>
      <w:r>
        <w:rPr>
          <w:rStyle w:val="Odwoanieprzypisudolnego"/>
        </w:rPr>
        <w:footnoteRef/>
      </w:r>
      <w:r>
        <w:t xml:space="preserve"> </w:t>
      </w:r>
      <w:r>
        <w:rPr>
          <w:sz w:val="18"/>
          <w:szCs w:val="18"/>
        </w:rPr>
        <w:t>Wg stanu na dzień 28.02.2019 r., zgodnie ze zaktualizowaną przez KE metodologią wykazywania celów pośrednich RW</w:t>
      </w:r>
    </w:p>
  </w:footnote>
  <w:footnote w:id="3">
    <w:p w:rsidR="00D84544" w:rsidRDefault="00D84544" w:rsidP="00D84544">
      <w:pPr>
        <w:pStyle w:val="Tekstprzypisudolnego"/>
        <w:rPr>
          <w:rFonts w:ascii="Calibri" w:hAnsi="Calibri" w:cs="Calibri"/>
          <w:sz w:val="18"/>
          <w:szCs w:val="18"/>
        </w:rPr>
      </w:pPr>
      <w:r>
        <w:rPr>
          <w:rStyle w:val="Odwoanieprzypisudolnego"/>
        </w:rPr>
        <w:t>[1]</w:t>
      </w:r>
      <w:r>
        <w:t xml:space="preserve"> </w:t>
      </w:r>
      <w:r>
        <w:rPr>
          <w:sz w:val="18"/>
          <w:szCs w:val="18"/>
        </w:rPr>
        <w:t>Wg stanu na dzień 28.02.2019 r., zgodnie ze zaktualizowaną przez KE metodologią wykazywania celów pośrednich RW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914D1" w:rsidRDefault="003914D1">
    <w:pPr>
      <w:pStyle w:val="Nagwek"/>
    </w:pPr>
    <w:r>
      <w:rPr>
        <w:noProof/>
        <w:lang w:eastAsia="pl-PL"/>
      </w:rPr>
      <w:drawing>
        <wp:inline distT="0" distB="0" distL="0" distR="0" wp14:anchorId="5E345D21" wp14:editId="19E5937B">
          <wp:extent cx="5759450" cy="487680"/>
          <wp:effectExtent l="0" t="0" r="0" b="7620"/>
          <wp:docPr id="7" name="Obraz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FSI  kolo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487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84544" w:rsidRDefault="00D84544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C3B3B69"/>
    <w:multiLevelType w:val="multilevel"/>
    <w:tmpl w:val="300497A2"/>
    <w:lvl w:ilvl="0">
      <w:start w:val="1"/>
      <w:numFmt w:val="decimal"/>
      <w:pStyle w:val="LBE11"/>
      <w:lvlText w:val="%1."/>
      <w:lvlJc w:val="left"/>
      <w:pPr>
        <w:ind w:left="930" w:hanging="465"/>
      </w:pPr>
      <w:rPr>
        <w:rFonts w:hint="default"/>
      </w:rPr>
    </w:lvl>
    <w:lvl w:ilvl="1">
      <w:start w:val="1"/>
      <w:numFmt w:val="decimal"/>
      <w:pStyle w:val="LBE1"/>
      <w:lvlText w:val="%1.%2."/>
      <w:lvlJc w:val="left"/>
      <w:pPr>
        <w:ind w:left="154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05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62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985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70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065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05" w:hanging="2160"/>
      </w:pPr>
      <w:rPr>
        <w:rFonts w:hint="default"/>
      </w:rPr>
    </w:lvl>
  </w:abstractNum>
  <w:abstractNum w:abstractNumId="1" w15:restartNumberingAfterBreak="0">
    <w:nsid w:val="49CF3B68"/>
    <w:multiLevelType w:val="hybridMultilevel"/>
    <w:tmpl w:val="3F2A8F5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fullPage" w:percent="72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4544"/>
    <w:rsid w:val="00012E7A"/>
    <w:rsid w:val="003914D1"/>
    <w:rsid w:val="00533454"/>
    <w:rsid w:val="005C2DCC"/>
    <w:rsid w:val="00777B8A"/>
    <w:rsid w:val="00996AD2"/>
    <w:rsid w:val="00AA43EA"/>
    <w:rsid w:val="00AD3443"/>
    <w:rsid w:val="00D84544"/>
    <w:rsid w:val="00D85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2507776"/>
  <w15:chartTrackingRefBased/>
  <w15:docId w15:val="{6F348922-5AFC-4811-8FF3-E509936387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84544"/>
    <w:pPr>
      <w:spacing w:after="0" w:line="240" w:lineRule="auto"/>
    </w:pPr>
    <w:rPr>
      <w:sz w:val="24"/>
      <w:szCs w:val="24"/>
      <w:lang w:val="en-GB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D84544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,Podrozdzia3,Tekst przypisu Znak Znak Znak Znak,Tekst przypisu Znak Znak Znak Znak Znak,Tekst przypisu Znak Znak Znak Znak Znak Znak Znak,Tekst przypisu Znak Znak Znak Znak Znak Znak Znak Znak Zn,Fußnote,fn,o"/>
    <w:basedOn w:val="Normalny"/>
    <w:link w:val="TekstprzypisudolnegoZnak"/>
    <w:uiPriority w:val="99"/>
    <w:unhideWhenUsed/>
    <w:qFormat/>
    <w:rsid w:val="00D84544"/>
    <w:rPr>
      <w:sz w:val="20"/>
      <w:szCs w:val="20"/>
      <w:lang w:val="pl-PL"/>
    </w:rPr>
  </w:style>
  <w:style w:type="character" w:customStyle="1" w:styleId="TekstprzypisudolnegoZnak">
    <w:name w:val="Tekst przypisu dolnego Znak"/>
    <w:aliases w:val="Podrozdział Znak,Footnote Znak,Podrozdzia3 Znak,Tekst przypisu Znak Znak Znak Znak Znak1,Tekst przypisu Znak Znak Znak Znak Znak Znak,Tekst przypisu Znak Znak Znak Znak Znak Znak Znak Znak,Fußnote Znak,fn Znak,o Znak"/>
    <w:basedOn w:val="Domylnaczcionkaakapitu"/>
    <w:link w:val="Tekstprzypisudolnego"/>
    <w:uiPriority w:val="99"/>
    <w:qFormat/>
    <w:rsid w:val="00D84544"/>
    <w:rPr>
      <w:sz w:val="20"/>
      <w:szCs w:val="20"/>
    </w:rPr>
  </w:style>
  <w:style w:type="character" w:styleId="Odwoanieprzypisudolnego">
    <w:name w:val="footnote reference"/>
    <w:aliases w:val="Footnote Reference Number,Footnote symbol,EN Footnote Reference,Times 10 Point,Exposant 3 Point,Footnote reference number,note TESI,stylish,Odwołanie przypisu,Überschrift 4 Zchn1,Título 4 Car Zchn,Heading 4 Char1 Car Zchn,SUPE"/>
    <w:basedOn w:val="Domylnaczcionkaakapitu"/>
    <w:uiPriority w:val="99"/>
    <w:unhideWhenUsed/>
    <w:qFormat/>
    <w:rsid w:val="00D84544"/>
    <w:rPr>
      <w:vertAlign w:val="superscript"/>
    </w:rPr>
  </w:style>
  <w:style w:type="paragraph" w:customStyle="1" w:styleId="LBE1">
    <w:name w:val="LBE1"/>
    <w:basedOn w:val="Nagwek1"/>
    <w:rsid w:val="00D84544"/>
    <w:pPr>
      <w:numPr>
        <w:ilvl w:val="1"/>
        <w:numId w:val="1"/>
      </w:numPr>
      <w:spacing w:before="480"/>
      <w:jc w:val="both"/>
    </w:pPr>
    <w:rPr>
      <w:b/>
      <w:bCs/>
      <w:color w:val="3D1B0E"/>
      <w:sz w:val="28"/>
      <w:szCs w:val="28"/>
      <w:lang w:val="pl-PL"/>
    </w:rPr>
  </w:style>
  <w:style w:type="paragraph" w:customStyle="1" w:styleId="LBE11">
    <w:name w:val="LBE1.1"/>
    <w:basedOn w:val="Nagwek1"/>
    <w:link w:val="LBE11Znak"/>
    <w:qFormat/>
    <w:rsid w:val="00D84544"/>
    <w:pPr>
      <w:numPr>
        <w:numId w:val="1"/>
      </w:numPr>
      <w:spacing w:before="480"/>
    </w:pPr>
    <w:rPr>
      <w:b/>
      <w:bCs/>
      <w:color w:val="3D1B0E"/>
      <w:sz w:val="28"/>
      <w:szCs w:val="28"/>
    </w:rPr>
  </w:style>
  <w:style w:type="character" w:customStyle="1" w:styleId="LBE11Znak">
    <w:name w:val="LBE1.1 Znak"/>
    <w:basedOn w:val="Nagwek1Znak"/>
    <w:link w:val="LBE11"/>
    <w:rsid w:val="00D84544"/>
    <w:rPr>
      <w:rFonts w:asciiTheme="majorHAnsi" w:eastAsiaTheme="majorEastAsia" w:hAnsiTheme="majorHAnsi" w:cstheme="majorBidi"/>
      <w:b/>
      <w:bCs/>
      <w:color w:val="3D1B0E"/>
      <w:sz w:val="28"/>
      <w:szCs w:val="28"/>
      <w:lang w:val="en-GB"/>
    </w:rPr>
  </w:style>
  <w:style w:type="character" w:customStyle="1" w:styleId="Nagwek1Znak">
    <w:name w:val="Nagłówek 1 Znak"/>
    <w:basedOn w:val="Domylnaczcionkaakapitu"/>
    <w:link w:val="Nagwek1"/>
    <w:uiPriority w:val="9"/>
    <w:rsid w:val="00D84544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GB"/>
    </w:rPr>
  </w:style>
  <w:style w:type="paragraph" w:styleId="Nagwek">
    <w:name w:val="header"/>
    <w:basedOn w:val="Normalny"/>
    <w:link w:val="NagwekZnak"/>
    <w:uiPriority w:val="99"/>
    <w:unhideWhenUsed/>
    <w:rsid w:val="00D8454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84544"/>
    <w:rPr>
      <w:sz w:val="24"/>
      <w:szCs w:val="24"/>
      <w:lang w:val="en-GB"/>
    </w:rPr>
  </w:style>
  <w:style w:type="paragraph" w:styleId="Stopka">
    <w:name w:val="footer"/>
    <w:basedOn w:val="Normalny"/>
    <w:link w:val="StopkaZnak"/>
    <w:uiPriority w:val="99"/>
    <w:unhideWhenUsed/>
    <w:rsid w:val="00D8454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84544"/>
    <w:rPr>
      <w:sz w:val="24"/>
      <w:szCs w:val="24"/>
      <w:lang w:val="en-GB"/>
    </w:rPr>
  </w:style>
  <w:style w:type="paragraph" w:styleId="Akapitzlist">
    <w:name w:val="List Paragraph"/>
    <w:aliases w:val="maz_wyliczenie,opis dzialania,K-P_odwolanie,A_wyliczenie,Akapit z listą5CxSpLast,Tekst punktowanie,Numerowanie,List Paragraph,BulletC,Akapit z listą 1,Akapit z listą5,Table of contents numbered,sw tekst,Akapit z listą BS,Sl_Akapit z listą"/>
    <w:basedOn w:val="Normalny"/>
    <w:link w:val="AkapitzlistZnak"/>
    <w:uiPriority w:val="34"/>
    <w:qFormat/>
    <w:rsid w:val="00996AD2"/>
    <w:pPr>
      <w:ind w:left="720"/>
      <w:contextualSpacing/>
    </w:pPr>
  </w:style>
  <w:style w:type="character" w:customStyle="1" w:styleId="AkapitzlistZnak">
    <w:name w:val="Akapit z listą Znak"/>
    <w:aliases w:val="maz_wyliczenie Znak,opis dzialania Znak,K-P_odwolanie Znak,A_wyliczenie Znak,Akapit z listą5CxSpLast Znak,Tekst punktowanie Znak,Numerowanie Znak,List Paragraph Znak,BulletC Znak,Akapit z listą 1 Znak,Akapit z listą5 Znak"/>
    <w:basedOn w:val="Domylnaczcionkaakapitu"/>
    <w:link w:val="Akapitzlist"/>
    <w:uiPriority w:val="34"/>
    <w:qFormat/>
    <w:rsid w:val="00996AD2"/>
    <w:rPr>
      <w:sz w:val="24"/>
      <w:szCs w:val="24"/>
      <w:lang w:val="en-GB"/>
    </w:rPr>
  </w:style>
  <w:style w:type="paragraph" w:customStyle="1" w:styleId="paragraph">
    <w:name w:val="paragraph"/>
    <w:basedOn w:val="Normalny"/>
    <w:uiPriority w:val="99"/>
    <w:rsid w:val="00996AD2"/>
    <w:pPr>
      <w:spacing w:before="100" w:beforeAutospacing="1" w:after="100" w:afterAutospacing="1"/>
    </w:pPr>
    <w:rPr>
      <w:rFonts w:ascii="Times New Roman" w:eastAsia="Times New Roman" w:hAnsi="Times New Roman" w:cs="Times New Roman"/>
      <w:lang w:val="pl-PL" w:eastAsia="pl-PL"/>
    </w:rPr>
  </w:style>
  <w:style w:type="character" w:customStyle="1" w:styleId="normaltextrun">
    <w:name w:val="normaltextrun"/>
    <w:basedOn w:val="Domylnaczcionkaakapitu"/>
    <w:rsid w:val="00996AD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3477</Words>
  <Characters>20866</Characters>
  <Application>Microsoft Office Word</Application>
  <DocSecurity>0</DocSecurity>
  <Lines>173</Lines>
  <Paragraphs>48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Jas, Monika</dc:creator>
  <cp:keywords/>
  <dc:description/>
  <cp:lastModifiedBy>Jas, Monika</cp:lastModifiedBy>
  <cp:revision>3</cp:revision>
  <dcterms:created xsi:type="dcterms:W3CDTF">2019-05-28T12:33:00Z</dcterms:created>
  <dcterms:modified xsi:type="dcterms:W3CDTF">2019-06-27T11:16:00Z</dcterms:modified>
</cp:coreProperties>
</file>